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639BB57" w14:textId="3E75BB1C" w:rsidR="000A1647" w:rsidRPr="000A1647" w:rsidRDefault="000A1647" w:rsidP="000A1647">
      <w:pPr>
        <w:keepNext/>
        <w:keepLines/>
        <w:tabs>
          <w:tab w:val="start" w:pos="99.25pt"/>
        </w:tabs>
        <w:rPr>
          <w:rFonts w:ascii="Arial" w:hAnsi="Arial" w:cs="Arial"/>
          <w:b/>
          <w:kern w:val="2"/>
          <w:sz w:val="24"/>
          <w:lang w:val="en-US"/>
        </w:rPr>
      </w:pPr>
      <w:r w:rsidRPr="000A1647">
        <w:rPr>
          <w:rFonts w:ascii="Arial" w:hAnsi="Arial" w:cs="Arial"/>
          <w:b/>
          <w:kern w:val="2"/>
          <w:sz w:val="24"/>
          <w:lang w:val="en-US"/>
        </w:rPr>
        <w:t>3GPP TSG-RAN WG2 Meeting #122</w:t>
      </w:r>
      <w:r w:rsidRPr="000A1647">
        <w:rPr>
          <w:rFonts w:ascii="Arial" w:hAnsi="Arial" w:cs="Arial"/>
          <w:b/>
          <w:kern w:val="2"/>
          <w:sz w:val="24"/>
          <w:lang w:val="en-US"/>
        </w:rPr>
        <w:tab/>
      </w:r>
      <w:r>
        <w:rPr>
          <w:rFonts w:ascii="Arial" w:hAnsi="Arial" w:cs="Arial"/>
          <w:b/>
          <w:kern w:val="2"/>
          <w:sz w:val="24"/>
          <w:lang w:val="en-US"/>
        </w:rPr>
        <w:tab/>
      </w:r>
      <w:r>
        <w:rPr>
          <w:rFonts w:ascii="Arial" w:hAnsi="Arial" w:cs="Arial"/>
          <w:b/>
          <w:kern w:val="2"/>
          <w:sz w:val="24"/>
          <w:lang w:val="en-US"/>
        </w:rPr>
        <w:tab/>
      </w:r>
      <w:r w:rsidRPr="000A1647">
        <w:rPr>
          <w:rFonts w:ascii="Arial" w:hAnsi="Arial" w:cs="Arial"/>
          <w:b/>
          <w:kern w:val="2"/>
          <w:sz w:val="24"/>
          <w:lang w:val="en-US"/>
        </w:rPr>
        <w:t>R2-2</w:t>
      </w:r>
      <w:r w:rsidR="00C657CB">
        <w:rPr>
          <w:rFonts w:ascii="Arial" w:hAnsi="Arial" w:cs="Arial"/>
          <w:b/>
          <w:kern w:val="2"/>
          <w:sz w:val="24"/>
          <w:lang w:val="en-US"/>
        </w:rPr>
        <w:t>305124</w:t>
      </w:r>
    </w:p>
    <w:p w14:paraId="218BE3A3" w14:textId="10AF31DC" w:rsidR="007B2A26" w:rsidRDefault="000A1647" w:rsidP="000A1647">
      <w:pPr>
        <w:keepNext/>
        <w:keepLines/>
        <w:tabs>
          <w:tab w:val="start" w:pos="99.25pt"/>
        </w:tabs>
        <w:rPr>
          <w:rFonts w:ascii="Arial" w:hAnsi="Arial" w:cs="Arial"/>
          <w:b/>
          <w:kern w:val="2"/>
          <w:sz w:val="24"/>
          <w:lang w:val="en-US"/>
        </w:rPr>
      </w:pPr>
      <w:r w:rsidRPr="000A1647">
        <w:rPr>
          <w:rFonts w:ascii="Arial" w:hAnsi="Arial" w:cs="Arial"/>
          <w:b/>
          <w:kern w:val="2"/>
          <w:sz w:val="24"/>
          <w:lang w:val="en-US"/>
        </w:rPr>
        <w:t>Incheon, Korea, May 22-26, 2023</w:t>
      </w:r>
      <w:r w:rsidR="007B2A26">
        <w:rPr>
          <w:rFonts w:ascii="Arial" w:hAnsi="Arial" w:cs="Arial"/>
          <w:b/>
          <w:kern w:val="2"/>
          <w:sz w:val="24"/>
          <w:lang w:val="en-US"/>
        </w:rPr>
        <w:tab/>
      </w:r>
    </w:p>
    <w:p w14:paraId="2C188237" w14:textId="019A7A15" w:rsidR="00FA66D2" w:rsidRDefault="00FA66D2" w:rsidP="000A1647">
      <w:pPr>
        <w:keepNext/>
        <w:keepLines/>
        <w:tabs>
          <w:tab w:val="start" w:pos="99.25pt"/>
        </w:tabs>
        <w:rPr>
          <w:rFonts w:ascii="Arial" w:hAnsi="Arial" w:cs="Arial"/>
          <w:b/>
          <w:kern w:val="2"/>
          <w:sz w:val="24"/>
          <w:lang w:val="en-US"/>
        </w:rPr>
      </w:pPr>
      <w:r>
        <w:rPr>
          <w:rFonts w:ascii="Arial" w:hAnsi="Arial" w:cs="Arial"/>
          <w:b/>
          <w:kern w:val="2"/>
          <w:sz w:val="24"/>
          <w:lang w:val="en-US"/>
        </w:rPr>
        <w:t xml:space="preserve">Agenda Item: </w:t>
      </w:r>
      <w:r w:rsidR="008C57E0">
        <w:rPr>
          <w:rFonts w:ascii="Arial" w:hAnsi="Arial" w:cs="Arial"/>
          <w:b/>
          <w:kern w:val="2"/>
          <w:sz w:val="24"/>
          <w:lang w:val="en-US"/>
        </w:rPr>
        <w:t xml:space="preserve">       7.10.2</w:t>
      </w:r>
    </w:p>
    <w:p w14:paraId="0EA8B118" w14:textId="77777777" w:rsidR="006D3016" w:rsidRPr="0037005F" w:rsidRDefault="006D3016" w:rsidP="003C150E">
      <w:pPr>
        <w:tabs>
          <w:tab w:val="start" w:pos="99.25pt"/>
        </w:tabs>
        <w:overflowPunct/>
        <w:autoSpaceDE/>
        <w:autoSpaceDN/>
        <w:adjustRightInd/>
        <w:spacing w:after="6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Source:</w:t>
      </w:r>
      <w:r w:rsidRPr="0037005F">
        <w:rPr>
          <w:rFonts w:ascii="Arial" w:eastAsia="Times New Roman" w:hAnsi="Arial" w:cs="Arial"/>
          <w:b/>
          <w:bCs/>
          <w:color w:val="auto"/>
          <w:sz w:val="24"/>
          <w:lang w:eastAsia="en-US"/>
        </w:rPr>
        <w:tab/>
        <w:t>Qualcomm Incorporated</w:t>
      </w:r>
    </w:p>
    <w:p w14:paraId="789EA721" w14:textId="77777777" w:rsidR="006D3016" w:rsidRPr="0037005F" w:rsidRDefault="006D3016" w:rsidP="006D3016">
      <w:pPr>
        <w:overflowPunct/>
        <w:autoSpaceDE/>
        <w:autoSpaceDN/>
        <w:adjustRightInd/>
        <w:ind w:start="99.25pt" w:hanging="99.25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Title:</w:t>
      </w:r>
      <w:r w:rsidRPr="0037005F">
        <w:rPr>
          <w:rFonts w:ascii="Arial" w:eastAsia="Times New Roman" w:hAnsi="Arial" w:cs="Arial"/>
          <w:b/>
          <w:bCs/>
          <w:color w:val="auto"/>
          <w:sz w:val="24"/>
          <w:lang w:eastAsia="en-US"/>
        </w:rPr>
        <w:tab/>
      </w:r>
      <w:r w:rsidR="00A67E6C">
        <w:rPr>
          <w:rFonts w:ascii="Arial" w:eastAsia="Times New Roman" w:hAnsi="Arial" w:cs="Arial"/>
          <w:b/>
          <w:bCs/>
          <w:color w:val="auto"/>
          <w:sz w:val="24"/>
          <w:lang w:eastAsia="en-US"/>
        </w:rPr>
        <w:t>F</w:t>
      </w:r>
      <w:r w:rsidR="00680164">
        <w:rPr>
          <w:rFonts w:ascii="Arial" w:eastAsia="Times New Roman" w:hAnsi="Arial" w:cs="Arial"/>
          <w:b/>
          <w:bCs/>
          <w:color w:val="auto"/>
          <w:sz w:val="24"/>
          <w:lang w:eastAsia="en-US"/>
        </w:rPr>
        <w:t>DM IDC Enhancements</w:t>
      </w:r>
    </w:p>
    <w:p w14:paraId="06EBAECC" w14:textId="77777777" w:rsidR="006D3016" w:rsidRPr="00383F56" w:rsidRDefault="006D3016" w:rsidP="006D3016">
      <w:pPr>
        <w:tabs>
          <w:tab w:val="start" w:pos="99.25pt"/>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r>
      <w:r w:rsidR="00F269C5" w:rsidRPr="0037005F">
        <w:rPr>
          <w:rFonts w:ascii="Arial" w:eastAsia="Times New Roman" w:hAnsi="Arial" w:cs="Arial"/>
          <w:b/>
          <w:bCs/>
          <w:color w:val="auto"/>
          <w:sz w:val="24"/>
          <w:lang w:eastAsia="en-US"/>
        </w:rPr>
        <w:t>Discussion</w:t>
      </w:r>
      <w:r w:rsidR="00142104">
        <w:rPr>
          <w:rFonts w:ascii="Arial" w:eastAsia="Times New Roman" w:hAnsi="Arial" w:cs="Arial"/>
          <w:b/>
          <w:bCs/>
          <w:color w:val="auto"/>
          <w:sz w:val="24"/>
          <w:lang w:eastAsia="en-US"/>
        </w:rPr>
        <w:t xml:space="preserve"> and Decision</w:t>
      </w:r>
    </w:p>
    <w:p w14:paraId="1A9D8F5E" w14:textId="77777777" w:rsidR="00CD1FF7" w:rsidRPr="00383F56" w:rsidRDefault="00C51902" w:rsidP="00AE3E14">
      <w:pPr>
        <w:pStyle w:val="Heading1"/>
      </w:pPr>
      <w:r>
        <w:t xml:space="preserve">Introduction </w:t>
      </w:r>
    </w:p>
    <w:p w14:paraId="2991D906" w14:textId="77777777" w:rsidR="000F44B8" w:rsidRDefault="003363B9" w:rsidP="00AB75BC">
      <w:bookmarkStart w:id="0" w:name="_Hlk528770372"/>
      <w:r>
        <w:t>In this contribution, w</w:t>
      </w:r>
      <w:r w:rsidR="008A2DF1">
        <w:t xml:space="preserve">e </w:t>
      </w:r>
      <w:r w:rsidR="002F28C8">
        <w:t xml:space="preserve">discuss </w:t>
      </w:r>
      <w:r w:rsidR="00680164">
        <w:t xml:space="preserve">FDM solutions that can be used to enhance </w:t>
      </w:r>
      <w:r w:rsidR="00585033">
        <w:t>the existing IDC solutions in Rel-</w:t>
      </w:r>
      <w:proofErr w:type="gramStart"/>
      <w:r w:rsidR="00585033">
        <w:t>18</w:t>
      </w:r>
      <w:r w:rsidR="00680164">
        <w:t xml:space="preserve"> </w:t>
      </w:r>
      <w:r w:rsidR="00B41A64">
        <w:t>.</w:t>
      </w:r>
      <w:proofErr w:type="gramEnd"/>
    </w:p>
    <w:p w14:paraId="5B3F86C8" w14:textId="77777777" w:rsidR="00D13CD9" w:rsidRDefault="00C657CB" w:rsidP="00AB75BC">
      <w:pPr>
        <w:rPr>
          <w:noProof/>
        </w:rPr>
      </w:pPr>
      <w:r>
        <w:rPr>
          <w:noProof/>
        </w:rPr>
        <mc:AlternateContent>
          <mc:Choice Requires="v">
            <w:pict w14:anchorId="63528B4A">
              <v:shapetype id="_x0000_t202" coordsize="21600,21600" o:spt="202" path="m,l,21600r21600,l21600,xe">
                <v:stroke joinstyle="miter"/>
                <v:path gradientshapeok="t" o:connecttype="rect"/>
              </v:shapetype>
              <v:shape id="Text Box 2" o:spid="_x0000_s2213" type="#_x0000_t202" style="position:absolute;margin-left:-2.7pt;margin-top:15.9pt;width:466.75pt;height:165.2pt;z-index:2516577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Text Box 2;mso-fit-shape-to-text:t">
                  <w:txbxContent>
                    <w:p w14:paraId="1382D2E5" w14:textId="77777777" w:rsidR="00D13CD9" w:rsidRPr="00CD6619" w:rsidRDefault="00D13CD9" w:rsidP="00D13CD9">
                      <w:r w:rsidRPr="00CD6619">
                        <w:t xml:space="preserve">This WI expects to address </w:t>
                      </w:r>
                      <w:r>
                        <w:t>i</w:t>
                      </w:r>
                      <w:r w:rsidRPr="00CD6619">
                        <w:t xml:space="preserve">nterference between 3GPP (including various MR-DC architectures, </w:t>
                      </w:r>
                      <w:proofErr w:type="gramStart"/>
                      <w:r w:rsidRPr="00CD6619">
                        <w:t>i.e.</w:t>
                      </w:r>
                      <w:proofErr w:type="gramEnd"/>
                      <w:r w:rsidRPr="00CD6619">
                        <w:t xml:space="preserve"> NR-DC and EN-DC) and </w:t>
                      </w:r>
                      <w:r>
                        <w:t>non-3GPP</w:t>
                      </w:r>
                      <w:r w:rsidRPr="00CD6619">
                        <w:t xml:space="preserve"> RAT (e.g. WiFi).</w:t>
                      </w:r>
                    </w:p>
                    <w:p w14:paraId="1CE14D8C" w14:textId="77777777" w:rsidR="00D13CD9" w:rsidRPr="00B760DA" w:rsidRDefault="00D13CD9" w:rsidP="00D13CD9">
                      <w:pPr>
                        <w:pStyle w:val="ListParagraph"/>
                        <w:numPr>
                          <w:ilvl w:val="0"/>
                          <w:numId w:val="31"/>
                        </w:numPr>
                        <w:overflowPunct w:val="0"/>
                        <w:autoSpaceDE w:val="0"/>
                        <w:autoSpaceDN w:val="0"/>
                        <w:adjustRightInd w:val="0"/>
                        <w:spacing w:after="9pt"/>
                        <w:contextualSpacing/>
                        <w:textAlignment w:val="baseline"/>
                      </w:pPr>
                      <w:r w:rsidRPr="00B760DA">
                        <w:t>Enhancements to FDM solution, to allow more granular indication of affected frequencies (</w:t>
                      </w:r>
                      <w:proofErr w:type="gramStart"/>
                      <w:r w:rsidRPr="00B760DA">
                        <w:t>e.g.</w:t>
                      </w:r>
                      <w:proofErr w:type="gramEnd"/>
                      <w:r w:rsidRPr="00B760DA">
                        <w:t xml:space="preserve"> granularity of BWP or PRB level). (RAN2)</w:t>
                      </w:r>
                    </w:p>
                    <w:p w14:paraId="0A68A9BD" w14:textId="77777777" w:rsidR="00D13CD9" w:rsidRPr="00CD6619" w:rsidRDefault="00D13CD9" w:rsidP="00D13CD9">
                      <w:pPr>
                        <w:pStyle w:val="ListParagraph"/>
                      </w:pPr>
                      <w:r w:rsidRPr="00CD6619">
                        <w:t xml:space="preserve">Note: Enhancements to FDM solution is </w:t>
                      </w:r>
                      <w:r>
                        <w:t>prioritized</w:t>
                      </w:r>
                      <w:r w:rsidRPr="00CD6619">
                        <w:t>.</w:t>
                      </w:r>
                    </w:p>
                    <w:p w14:paraId="6C445BC6" w14:textId="77777777" w:rsidR="00D13CD9" w:rsidRPr="00CD6619" w:rsidRDefault="00D13CD9" w:rsidP="00D13CD9">
                      <w:pPr>
                        <w:pStyle w:val="ListParagraph"/>
                        <w:numPr>
                          <w:ilvl w:val="0"/>
                          <w:numId w:val="31"/>
                        </w:numPr>
                        <w:overflowPunct w:val="0"/>
                        <w:autoSpaceDE w:val="0"/>
                        <w:autoSpaceDN w:val="0"/>
                        <w:adjustRightInd w:val="0"/>
                        <w:spacing w:after="9pt"/>
                        <w:contextualSpacing/>
                        <w:textAlignment w:val="baseline"/>
                      </w:pPr>
                      <w:r w:rsidRPr="007B2A26">
                        <w:t>Introduction of TDM solution (</w:t>
                      </w:r>
                      <w:proofErr w:type="gramStart"/>
                      <w:r w:rsidRPr="007B2A26">
                        <w:t>e.g.</w:t>
                      </w:r>
                      <w:proofErr w:type="gramEnd"/>
                      <w:r w:rsidRPr="007B2A26">
                        <w:t xml:space="preserve"> indication of UE preferred TDM pattern for UL/DL). (RAN2, RAN4).</w:t>
                      </w:r>
                      <w:r w:rsidRPr="00CD6619">
                        <w:br/>
                        <w:t>Note: The TDM solution is considered complementary to the FDM solution.</w:t>
                      </w:r>
                    </w:p>
                    <w:p w14:paraId="1581A9E7" w14:textId="77777777" w:rsidR="00D13CD9" w:rsidRDefault="00D13CD9" w:rsidP="00D13CD9">
                      <w:pPr>
                        <w:pStyle w:val="ListParagraph"/>
                        <w:numPr>
                          <w:ilvl w:val="0"/>
                          <w:numId w:val="31"/>
                        </w:numPr>
                        <w:overflowPunct w:val="0"/>
                        <w:autoSpaceDE w:val="0"/>
                        <w:autoSpaceDN w:val="0"/>
                        <w:adjustRightInd w:val="0"/>
                        <w:spacing w:after="9pt"/>
                        <w:contextualSpacing/>
                        <w:textAlignment w:val="baseline"/>
                      </w:pPr>
                      <w:r>
                        <w:t>Specify RRM requirements for TDM solution (RAN4)</w:t>
                      </w:r>
                    </w:p>
                    <w:p w14:paraId="2A5FB6D8" w14:textId="77777777" w:rsidR="00D13CD9" w:rsidRDefault="00D13CD9">
                      <w:r w:rsidRPr="007B2A26">
                        <w:t>Note: LTE IDC solution should be considered as the baseline for the solutions developed in this WI.</w:t>
                      </w:r>
                    </w:p>
                  </w:txbxContent>
                </v:textbox>
                <w10:wrap type="square"/>
              </v:shape>
            </w:pict>
          </mc:Choice>
          <mc:Fallback>
            <w:drawing>
              <wp:anchor distT="45720" distB="45720" distL="114300" distR="114300" simplePos="0" relativeHeight="251659264" behindDoc="0" locked="0" layoutInCell="1" allowOverlap="1" wp14:anchorId="71E47B00" wp14:editId="369BDCE2">
                <wp:simplePos x="0" y="0"/>
                <wp:positionH relativeFrom="column">
                  <wp:posOffset>-34290</wp:posOffset>
                </wp:positionH>
                <wp:positionV relativeFrom="paragraph">
                  <wp:posOffset>201930</wp:posOffset>
                </wp:positionV>
                <wp:extent cx="5927725" cy="2098040"/>
                <wp:effectExtent l="13335" t="11430" r="12065" b="5080"/>
                <wp:wrapSquare wrapText="bothSides"/>
                <wp:docPr id="1"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7725" cy="2098040"/>
                        </a:xfrm>
                        <a:prstGeom prst="rect">
                          <a:avLst/>
                        </a:prstGeom>
                        <a:solidFill>
                          <a:srgbClr val="FFFFFF"/>
                        </a:solidFill>
                        <a:ln w="9525">
                          <a:solidFill>
                            <a:srgbClr val="000000"/>
                          </a:solidFill>
                          <a:miter lim="800%"/>
                          <a:headEnd/>
                          <a:tailEnd/>
                        </a:ln>
                      </wp:spPr>
                      <wp:txbx>
                        <wne:txbxContent>
                          <w:p w14:paraId="654FAF5A" w14:textId="77777777" w:rsidR="0022730F" w:rsidRPr="00CD6619" w:rsidRDefault="0022730F" w:rsidP="00D13CD9">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p>
                          <w:p w14:paraId="3D06EF61" w14:textId="77777777" w:rsidR="0022730F" w:rsidRPr="00B760DA"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rsidRPr="00B760DA">
                              <w:t>Enhancements to FDM solution, to allow more granular indication of affected frequencies (e.g. granularity of BWP or PRB level). (RAN2)</w:t>
                            </w:r>
                          </w:p>
                          <w:p w14:paraId="4E1A345A" w14:textId="77777777" w:rsidR="0022730F" w:rsidRPr="00CD6619" w:rsidRDefault="0022730F" w:rsidP="00D13CD9">
                            <w:pPr>
                              <w:pStyle w:val="ListParagraph"/>
                            </w:pPr>
                            <w:r w:rsidRPr="00CD6619">
                              <w:t xml:space="preserve">Note: Enhancements to FDM solution is </w:t>
                            </w:r>
                            <w:r>
                              <w:t>prioritized</w:t>
                            </w:r>
                            <w:r w:rsidRPr="00CD6619">
                              <w:t>.</w:t>
                            </w:r>
                          </w:p>
                          <w:p w14:paraId="5E5751E9" w14:textId="77777777" w:rsidR="0022730F" w:rsidRPr="00CD6619"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rsidRPr="007B2A26">
                              <w:t>Introduction of TDM solution (e.g. indication of UE preferred TDM pattern for UL/DL). (RAN2, RAN4).</w:t>
                            </w:r>
                            <w:r w:rsidRPr="00CD6619">
                              <w:br/>
                              <w:t>Note: The TDM solution is considered complementary to the FDM solution.</w:t>
                            </w:r>
                          </w:p>
                          <w:p w14:paraId="56EE4317" w14:textId="77777777" w:rsidR="0022730F"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t>Specify RRM requirements for TDM solution (RAN4)</w:t>
                            </w:r>
                          </w:p>
                          <w:p w14:paraId="0D90B555" w14:textId="77777777" w:rsidR="0022730F" w:rsidRDefault="0022730F">
                            <w:r w:rsidRPr="007B2A26">
                              <w:t>Note: LTE IDC solution should be considered as the baseline for the solutions developed in this WI.</w:t>
                            </w:r>
                          </w:p>
                        </wne:txbxContent>
                      </wp:txbx>
                      <wp:bodyPr rot="0" vert="horz" wrap="square" lIns="91440" tIns="45720" rIns="91440" bIns="45720" anchor="t" anchorCtr="0" upright="1">
                        <a:spAutoFit/>
                      </wp:bodyPr>
                    </wp:wsp>
                  </a:graphicData>
                </a:graphic>
                <wp14:sizeRelH relativeFrom="margin">
                  <wp14:pctWidth>0%</wp14:pctWidth>
                </wp14:sizeRelH>
                <wp14:sizeRelV relativeFrom="margin">
                  <wp14:pctHeight>20%</wp14:pctHeight>
                </wp14:sizeRelV>
              </wp:anchor>
            </w:drawing>
          </mc:Fallback>
        </mc:AlternateContent>
      </w:r>
      <w:r w:rsidR="00585033">
        <w:rPr>
          <w:noProof/>
        </w:rPr>
        <w:t>In Rel-18, it was agreed to introduce IDC enhancemen</w:t>
      </w:r>
      <w:r w:rsidR="00D13CD9">
        <w:rPr>
          <w:noProof/>
        </w:rPr>
        <w:t>ts in WID [1]:</w:t>
      </w:r>
    </w:p>
    <w:p w14:paraId="2F228B10" w14:textId="1EAD4E46" w:rsidR="00F70D1A" w:rsidRDefault="00D8263D" w:rsidP="00AB75BC">
      <w:r>
        <w:t>In RAN2 1</w:t>
      </w:r>
      <w:r w:rsidR="009404C6">
        <w:t>21, the following agreements were reached:</w:t>
      </w:r>
    </w:p>
    <w:tbl>
      <w:tblPr>
        <w:tblStyle w:val="TableGrid"/>
        <w:tblW w:w="0pt" w:type="dxa"/>
        <w:tblLook w:firstRow="1" w:lastRow="0" w:firstColumn="1" w:lastColumn="0" w:noHBand="0" w:noVBand="1"/>
      </w:tblPr>
      <w:tblGrid>
        <w:gridCol w:w="9854"/>
      </w:tblGrid>
      <w:tr w:rsidR="009404C6" w14:paraId="41ED60B4" w14:textId="77777777" w:rsidTr="009404C6">
        <w:tc>
          <w:tcPr>
            <w:tcW w:w="492.70pt" w:type="dxa"/>
          </w:tcPr>
          <w:p w14:paraId="4AA3B21B" w14:textId="77777777" w:rsidR="009404C6" w:rsidRPr="009404C6" w:rsidRDefault="009404C6" w:rsidP="009404C6">
            <w:pPr>
              <w:pStyle w:val="Doc-text2"/>
              <w:ind w:start="0pt" w:firstLine="0pt"/>
              <w:rPr>
                <w:b/>
              </w:rPr>
            </w:pPr>
            <w:r w:rsidRPr="009404C6">
              <w:rPr>
                <w:b/>
              </w:rPr>
              <w:t>FDM</w:t>
            </w:r>
          </w:p>
          <w:p w14:paraId="04F4920D" w14:textId="77777777" w:rsidR="009404C6" w:rsidRPr="009404C6" w:rsidRDefault="009404C6" w:rsidP="009404C6">
            <w:pPr>
              <w:pStyle w:val="Doc-text2"/>
              <w:numPr>
                <w:ilvl w:val="0"/>
                <w:numId w:val="46"/>
              </w:numPr>
            </w:pPr>
            <w:r w:rsidRPr="009404C6">
              <w:t>Adopt Option 1 based frequency range reporting to the network i.e Center frequency + bandwidth in KHz/MHz for the actual affected frequencies is reported by the UE to the network for addressing IDC problem in R18.</w:t>
            </w:r>
          </w:p>
          <w:p w14:paraId="3593A0D7" w14:textId="77777777" w:rsidR="009404C6" w:rsidRPr="009404C6" w:rsidRDefault="009404C6" w:rsidP="009404C6">
            <w:pPr>
              <w:pStyle w:val="Doc-text2"/>
              <w:numPr>
                <w:ilvl w:val="0"/>
                <w:numId w:val="46"/>
              </w:numPr>
            </w:pPr>
            <w:r w:rsidRPr="009404C6">
              <w:t xml:space="preserve">Take the ASN.1 framework for option 1 as a starting point in the Text proposal section and work on the following </w:t>
            </w:r>
            <w:proofErr w:type="gramStart"/>
            <w:r w:rsidRPr="009404C6">
              <w:t>enhancements</w:t>
            </w:r>
            <w:proofErr w:type="gramEnd"/>
          </w:p>
          <w:p w14:paraId="7B8E20B5" w14:textId="77777777" w:rsidR="009404C6" w:rsidRPr="009404C6" w:rsidRDefault="009404C6" w:rsidP="009404C6">
            <w:pPr>
              <w:pStyle w:val="Doc-text2"/>
              <w:numPr>
                <w:ilvl w:val="1"/>
                <w:numId w:val="46"/>
              </w:numPr>
            </w:pPr>
            <w:r w:rsidRPr="009404C6">
              <w:t>1.</w:t>
            </w:r>
            <w:r w:rsidRPr="009404C6">
              <w:tab/>
              <w:t xml:space="preserve">Add granular values for band width (including BW in KHz/Mhz) to cover all the scenarios involving Wi-Fi, GNSS, BT </w:t>
            </w:r>
          </w:p>
          <w:p w14:paraId="1689C055" w14:textId="77777777" w:rsidR="009404C6" w:rsidRPr="009404C6" w:rsidRDefault="009404C6" w:rsidP="009404C6">
            <w:pPr>
              <w:pStyle w:val="Doc-text2"/>
              <w:numPr>
                <w:ilvl w:val="1"/>
                <w:numId w:val="46"/>
              </w:numPr>
            </w:pPr>
            <w:r w:rsidRPr="009404C6">
              <w:t>2.</w:t>
            </w:r>
            <w:r w:rsidRPr="009404C6">
              <w:tab/>
              <w:t xml:space="preserve">Add the other IEs such as direction of interference. </w:t>
            </w:r>
          </w:p>
          <w:p w14:paraId="3DA44B08" w14:textId="77777777" w:rsidR="009404C6" w:rsidRPr="009404C6" w:rsidRDefault="009404C6" w:rsidP="009404C6">
            <w:pPr>
              <w:pStyle w:val="Doc-text2"/>
              <w:numPr>
                <w:ilvl w:val="1"/>
                <w:numId w:val="46"/>
              </w:numPr>
            </w:pPr>
            <w:r w:rsidRPr="009404C6">
              <w:t>3.</w:t>
            </w:r>
            <w:r w:rsidRPr="009404C6">
              <w:tab/>
              <w:t>Add combination of frequencies’ range for addressing IMD scenarios.</w:t>
            </w:r>
          </w:p>
          <w:p w14:paraId="62DF36B0" w14:textId="77777777" w:rsidR="009404C6" w:rsidRPr="009404C6" w:rsidRDefault="009404C6" w:rsidP="009404C6">
            <w:pPr>
              <w:pStyle w:val="Doc-text2"/>
              <w:numPr>
                <w:ilvl w:val="1"/>
                <w:numId w:val="46"/>
              </w:numPr>
            </w:pPr>
            <w:r w:rsidRPr="009404C6">
              <w:t>4.</w:t>
            </w:r>
            <w:r w:rsidRPr="009404C6">
              <w:tab/>
              <w:t>Check whether to reuse maxFreqIDC-r16, or define maxFreqIDC-r18</w:t>
            </w:r>
          </w:p>
          <w:p w14:paraId="2841F467" w14:textId="77777777" w:rsidR="009404C6" w:rsidRPr="009404C6" w:rsidRDefault="009404C6" w:rsidP="009404C6">
            <w:pPr>
              <w:pStyle w:val="Doc-text2"/>
              <w:numPr>
                <w:ilvl w:val="0"/>
                <w:numId w:val="46"/>
              </w:numPr>
            </w:pPr>
            <w:r w:rsidRPr="009404C6">
              <w:t>In MR-DC scenarios, SN can also configure the UE for IDC reporting in SN, including both FDM and TDM solution.</w:t>
            </w:r>
          </w:p>
          <w:p w14:paraId="0549CD91" w14:textId="77777777" w:rsidR="009404C6" w:rsidRPr="009404C6" w:rsidRDefault="009404C6" w:rsidP="009404C6">
            <w:pPr>
              <w:pStyle w:val="Doc-text2"/>
              <w:numPr>
                <w:ilvl w:val="0"/>
                <w:numId w:val="46"/>
              </w:numPr>
            </w:pPr>
            <w:r w:rsidRPr="009404C6">
              <w:t>no additional co-ordination is needed for IDC configuration, apart from the existing mechanism between MN and SN (</w:t>
            </w:r>
            <w:proofErr w:type="gramStart"/>
            <w:r w:rsidRPr="009404C6">
              <w:t>i.e.</w:t>
            </w:r>
            <w:proofErr w:type="gramEnd"/>
            <w:r w:rsidRPr="009404C6">
              <w:t xml:space="preserve"> candidateServingFreqListNR in CG-Config for EN-DC).</w:t>
            </w:r>
          </w:p>
          <w:p w14:paraId="7B5FE55A" w14:textId="77777777" w:rsidR="009404C6" w:rsidRPr="009404C6" w:rsidRDefault="009404C6" w:rsidP="009404C6">
            <w:pPr>
              <w:pStyle w:val="Doc-text2"/>
              <w:numPr>
                <w:ilvl w:val="0"/>
                <w:numId w:val="46"/>
              </w:numPr>
            </w:pPr>
            <w:r w:rsidRPr="009404C6">
              <w:t>The gNB configures the candidate frequency ranges using (centre frequency + bandwidth) for which the UE should report IDC issues. Network may indicate the whole bandwidth of the freq.</w:t>
            </w:r>
          </w:p>
          <w:p w14:paraId="28EE97F2" w14:textId="77777777" w:rsidR="009404C6" w:rsidRPr="009404C6" w:rsidRDefault="009404C6" w:rsidP="009404C6">
            <w:pPr>
              <w:pStyle w:val="Doc-text2"/>
              <w:numPr>
                <w:ilvl w:val="0"/>
                <w:numId w:val="46"/>
              </w:numPr>
            </w:pPr>
            <w:r w:rsidRPr="009404C6">
              <w:t>The frequency range (centre frequency + bandwidth) reported by the UE shall at least overlap with the frequency range (centre frequency + bandwidth) configured by the network.</w:t>
            </w:r>
          </w:p>
          <w:p w14:paraId="6447E844" w14:textId="77777777" w:rsidR="009404C6" w:rsidRPr="009404C6" w:rsidRDefault="009404C6" w:rsidP="009404C6">
            <w:pPr>
              <w:pStyle w:val="Doc-text2"/>
              <w:numPr>
                <w:ilvl w:val="0"/>
                <w:numId w:val="46"/>
              </w:numPr>
            </w:pPr>
            <w:r w:rsidRPr="009404C6">
              <w:t>The centre frequency reported by the UE is within the frequency range (centre frequency + bandwidth indicated by network in the configuration) configured by the network.</w:t>
            </w:r>
          </w:p>
          <w:p w14:paraId="35A6723D" w14:textId="77777777" w:rsidR="009404C6" w:rsidRPr="009404C6" w:rsidRDefault="009404C6" w:rsidP="009404C6">
            <w:pPr>
              <w:pStyle w:val="Doc-text2"/>
              <w:numPr>
                <w:ilvl w:val="0"/>
                <w:numId w:val="46"/>
              </w:numPr>
            </w:pPr>
            <w:r w:rsidRPr="009404C6">
              <w:t>If the UE detects interference in both directions for one candidate frequency range indicated by the gNB, the UE can report two affected frequency ranges with the respective interference direction, as legacy. No extra specification change is required.</w:t>
            </w:r>
          </w:p>
          <w:p w14:paraId="4D795976" w14:textId="77777777" w:rsidR="009404C6" w:rsidRPr="009404C6" w:rsidRDefault="009404C6" w:rsidP="009404C6">
            <w:pPr>
              <w:pStyle w:val="Doc-text2"/>
              <w:numPr>
                <w:ilvl w:val="0"/>
                <w:numId w:val="46"/>
              </w:numPr>
            </w:pPr>
            <w:r w:rsidRPr="009404C6">
              <w:t>LTE MN does not configure the UE with R18 NR IDC configuration.</w:t>
            </w:r>
          </w:p>
          <w:p w14:paraId="21F15242" w14:textId="77777777" w:rsidR="009404C6" w:rsidRDefault="009404C6" w:rsidP="00AB75BC"/>
        </w:tc>
      </w:tr>
    </w:tbl>
    <w:p w14:paraId="79A082EE" w14:textId="77777777" w:rsidR="009404C6" w:rsidRDefault="009404C6" w:rsidP="00AB75BC"/>
    <w:p w14:paraId="21DB76A9" w14:textId="65121515" w:rsidR="00916688" w:rsidRDefault="009404C6" w:rsidP="009404C6">
      <w:pPr>
        <w:pStyle w:val="Heading1"/>
      </w:pPr>
      <w:r>
        <w:t>Configuration and Reporting Enhancements</w:t>
      </w:r>
    </w:p>
    <w:p w14:paraId="01BFB8D3" w14:textId="5D6F63A6" w:rsidR="009404C6" w:rsidRDefault="009404C6" w:rsidP="009404C6">
      <w:r>
        <w:t xml:space="preserve">The current running </w:t>
      </w:r>
      <w:r w:rsidR="002503FB">
        <w:t>CR includes the following on reporting for FDM (and similar procedural text for TDM):</w:t>
      </w:r>
    </w:p>
    <w:tbl>
      <w:tblPr>
        <w:tblStyle w:val="TableGrid"/>
        <w:tblW w:w="0pt" w:type="dxa"/>
        <w:tblLook w:firstRow="1" w:lastRow="0" w:firstColumn="1" w:lastColumn="0" w:noHBand="0" w:noVBand="1"/>
      </w:tblPr>
      <w:tblGrid>
        <w:gridCol w:w="9854"/>
      </w:tblGrid>
      <w:tr w:rsidR="002503FB" w14:paraId="17EDC54E" w14:textId="77777777" w:rsidTr="002503FB">
        <w:tc>
          <w:tcPr>
            <w:tcW w:w="492.70pt" w:type="dxa"/>
          </w:tcPr>
          <w:p w14:paraId="31718EC9" w14:textId="77777777" w:rsidR="002503FB" w:rsidRPr="00904DF4" w:rsidRDefault="002503FB" w:rsidP="002503FB">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if</w:t>
            </w:r>
            <w:r>
              <w:rPr>
                <w:rFonts w:eastAsia="Times New Roman"/>
                <w:lang w:eastAsia="zh-CN"/>
              </w:rPr>
              <w:t xml:space="preserve"> </w:t>
            </w:r>
            <w:r w:rsidRPr="00904DF4">
              <w:rPr>
                <w:rFonts w:eastAsia="Times New Roman"/>
                <w:lang w:eastAsia="zh-CN"/>
              </w:rPr>
              <w:t>there is at least</w:t>
            </w:r>
            <w:r>
              <w:rPr>
                <w:rFonts w:eastAsia="Times New Roman"/>
                <w:lang w:eastAsia="zh-CN"/>
              </w:rPr>
              <w:t xml:space="preserve"> one affected frequency range overlaps with </w:t>
            </w:r>
            <w:r w:rsidRPr="00904DF4">
              <w:rPr>
                <w:rFonts w:eastAsia="Times New Roman"/>
                <w:lang w:eastAsia="zh-CN"/>
              </w:rPr>
              <w:t xml:space="preserve">one 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and the center frequency of the affected </w:t>
            </w:r>
            <w:r>
              <w:rPr>
                <w:rFonts w:eastAsia="Times New Roman"/>
                <w:lang w:eastAsia="zh-CN"/>
              </w:rPr>
              <w:t>frequency range is within</w:t>
            </w:r>
            <w:r w:rsidRPr="00904DF4">
              <w:rPr>
                <w:rFonts w:eastAsia="Times New Roman"/>
                <w:lang w:eastAsia="zh-CN"/>
              </w:rPr>
              <w:t xml:space="preserve"> </w:t>
            </w:r>
            <w:r>
              <w:rPr>
                <w:rFonts w:eastAsia="Times New Roman"/>
                <w:lang w:eastAsia="zh-CN"/>
              </w:rPr>
              <w:t xml:space="preserve">the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w:t>
            </w:r>
            <w:r w:rsidRPr="00904DF4">
              <w:rPr>
                <w:rFonts w:eastAsia="Times New Roman"/>
                <w:lang w:eastAsia="zh-CN"/>
              </w:rPr>
              <w:t>the UE is experiencing IDC problems that it cannot solve by itself:</w:t>
            </w:r>
          </w:p>
          <w:p w14:paraId="6C7F90F4" w14:textId="77777777" w:rsidR="002503FB" w:rsidRPr="00904DF4" w:rsidRDefault="002503FB" w:rsidP="002503FB">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with an entry for each affected frequency</w:t>
            </w:r>
            <w:r>
              <w:rPr>
                <w:rFonts w:eastAsia="Times New Roman"/>
                <w:lang w:eastAsia="zh-CN"/>
              </w:rPr>
              <w:t xml:space="preserve"> </w:t>
            </w:r>
            <w:proofErr w:type="gramStart"/>
            <w:r>
              <w:rPr>
                <w:rFonts w:eastAsia="Times New Roman"/>
                <w:lang w:eastAsia="zh-CN"/>
              </w:rPr>
              <w:t>range</w:t>
            </w:r>
            <w:r w:rsidRPr="00904DF4">
              <w:rPr>
                <w:rFonts w:eastAsia="Times New Roman"/>
                <w:lang w:eastAsia="zh-CN"/>
              </w:rPr>
              <w:t>;</w:t>
            </w:r>
            <w:proofErr w:type="gramEnd"/>
          </w:p>
          <w:p w14:paraId="74E8DBF8" w14:textId="77777777" w:rsidR="002503FB" w:rsidRPr="00904DF4" w:rsidRDefault="002503FB" w:rsidP="002503FB">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proofErr w:type="gramStart"/>
            <w:r w:rsidRPr="00F84CDA">
              <w:rPr>
                <w:rFonts w:eastAsia="Times New Roman"/>
                <w:i/>
                <w:iCs/>
                <w:lang w:eastAsia="zh-CN"/>
              </w:rPr>
              <w:t>affectedBandwidth</w:t>
            </w:r>
            <w:r w:rsidRPr="00904DF4">
              <w:rPr>
                <w:rFonts w:eastAsia="Times New Roman"/>
                <w:lang w:eastAsia="zh-CN"/>
              </w:rPr>
              <w:t>;</w:t>
            </w:r>
            <w:proofErr w:type="gramEnd"/>
          </w:p>
          <w:p w14:paraId="244BB8B3" w14:textId="77777777" w:rsidR="002503FB" w:rsidRPr="00904DF4" w:rsidRDefault="002503FB" w:rsidP="002503FB">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 xml:space="preserve">and set it </w:t>
            </w:r>
            <w:proofErr w:type="gramStart"/>
            <w:r w:rsidRPr="00904DF4">
              <w:rPr>
                <w:rFonts w:eastAsia="Times New Roman"/>
                <w:lang w:eastAsia="zh-CN"/>
              </w:rPr>
              <w:t>accordingly;</w:t>
            </w:r>
            <w:proofErr w:type="gramEnd"/>
          </w:p>
          <w:p w14:paraId="07F96B65" w14:textId="77777777" w:rsidR="002503FB" w:rsidRPr="00904DF4" w:rsidRDefault="002503FB" w:rsidP="002503FB">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there is at least</w:t>
            </w:r>
            <w:r>
              <w:rPr>
                <w:rFonts w:eastAsia="Times New Roman"/>
                <w:lang w:eastAsia="zh-CN"/>
              </w:rPr>
              <w:t xml:space="preserve"> one </w:t>
            </w:r>
            <w:r w:rsidRPr="00904DF4">
              <w:rPr>
                <w:rFonts w:eastAsia="Times New Roman"/>
                <w:lang w:eastAsia="zh-CN"/>
              </w:rPr>
              <w:t>supported UL CA</w:t>
            </w:r>
            <w:r>
              <w:rPr>
                <w:rFonts w:eastAsia="Times New Roman"/>
                <w:lang w:eastAsia="zh-CN"/>
              </w:rPr>
              <w:t xml:space="preserve"> or</w:t>
            </w:r>
            <w:r>
              <w:rPr>
                <w:rFonts w:eastAsia="Times New Roman"/>
              </w:rPr>
              <w:t xml:space="preserve"> MR-DC</w:t>
            </w:r>
            <w:r w:rsidRPr="00904DF4">
              <w:rPr>
                <w:rFonts w:eastAsia="Times New Roman"/>
                <w:lang w:eastAsia="zh-CN"/>
              </w:rPr>
              <w:t xml:space="preserve"> combination</w:t>
            </w:r>
            <w:r>
              <w:rPr>
                <w:rFonts w:eastAsia="Times New Roman"/>
                <w:lang w:eastAsia="zh-CN"/>
              </w:rPr>
              <w:t>s</w:t>
            </w:r>
            <w:r w:rsidRPr="00904DF4">
              <w:rPr>
                <w:rFonts w:eastAsia="Times New Roman"/>
                <w:lang w:eastAsia="zh-CN"/>
              </w:rPr>
              <w:t xml:space="preserve"> comprising of frequenc</w:t>
            </w:r>
            <w:r>
              <w:rPr>
                <w:rFonts w:eastAsia="Times New Roman"/>
                <w:lang w:eastAsia="zh-CN"/>
              </w:rPr>
              <w:t>y ranges</w:t>
            </w:r>
            <w:r w:rsidRPr="00904DF4">
              <w:rPr>
                <w:rFonts w:eastAsia="Times New Roman"/>
                <w:lang w:eastAsia="zh-CN"/>
              </w:rPr>
              <w:t xml:space="preserve"> </w:t>
            </w:r>
            <w:r w:rsidRPr="00904DF4">
              <w:rPr>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lang w:eastAsia="zh-CN"/>
              </w:rPr>
              <w:t xml:space="preserve">, and each affected frequency range in the </w:t>
            </w:r>
            <w:r w:rsidRPr="00904DF4">
              <w:rPr>
                <w:rFonts w:eastAsia="Times New Roman"/>
                <w:lang w:eastAsia="zh-CN"/>
              </w:rPr>
              <w:t>UL CA</w:t>
            </w:r>
            <w:r>
              <w:rPr>
                <w:rFonts w:eastAsia="Times New Roman"/>
                <w:lang w:eastAsia="zh-CN"/>
              </w:rPr>
              <w:t xml:space="preserve"> or MR-DC</w:t>
            </w:r>
            <w:r w:rsidRPr="00904DF4">
              <w:rPr>
                <w:rFonts w:eastAsia="Times New Roman"/>
                <w:lang w:eastAsia="zh-CN"/>
              </w:rPr>
              <w:t xml:space="preserve"> combination</w:t>
            </w:r>
            <w:r>
              <w:rPr>
                <w:rFonts w:eastAsia="Times New Roman"/>
                <w:lang w:eastAsia="zh-CN"/>
              </w:rPr>
              <w:t xml:space="preserve"> overlaps with </w:t>
            </w:r>
            <w:r w:rsidRPr="00904DF4">
              <w:rPr>
                <w:rFonts w:eastAsia="Times New Roman"/>
                <w:lang w:eastAsia="zh-CN"/>
              </w:rPr>
              <w:t xml:space="preserve">one 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and the center frequency of the </w:t>
            </w:r>
            <w:r>
              <w:rPr>
                <w:rFonts w:eastAsia="Times New Roman"/>
                <w:lang w:eastAsia="zh-CN"/>
              </w:rPr>
              <w:t xml:space="preserve">affected frequency range is within the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w:t>
            </w:r>
            <w:r w:rsidRPr="00904DF4">
              <w:rPr>
                <w:rFonts w:eastAsia="Times New Roman"/>
              </w:rPr>
              <w:t>the UE is experiencing</w:t>
            </w:r>
            <w:r w:rsidRPr="00904DF4">
              <w:rPr>
                <w:rFonts w:eastAsia="Times New Roman"/>
                <w:lang w:eastAsia="zh-CN"/>
              </w:rPr>
              <w:t xml:space="preserve"> </w:t>
            </w:r>
            <w:r w:rsidRPr="00904DF4">
              <w:rPr>
                <w:rFonts w:eastAsia="Times New Roman"/>
              </w:rPr>
              <w:t>IDC problems that it cannot solve by itself</w:t>
            </w:r>
            <w:r w:rsidRPr="00904DF4">
              <w:rPr>
                <w:rFonts w:eastAsia="Times New Roman"/>
                <w:lang w:eastAsia="zh-CN"/>
              </w:rPr>
              <w:t>:</w:t>
            </w:r>
          </w:p>
          <w:p w14:paraId="0699B64B" w14:textId="77777777" w:rsidR="002503FB" w:rsidRPr="00904DF4" w:rsidRDefault="002503FB" w:rsidP="002503FB">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2503FB">
              <w:rPr>
                <w:rFonts w:eastAsia="Times New Roman"/>
                <w:highlight w:val="green"/>
                <w:lang w:eastAsia="zh-CN"/>
              </w:rPr>
              <w:t xml:space="preserve">include </w:t>
            </w:r>
            <w:r w:rsidRPr="002503FB">
              <w:rPr>
                <w:rFonts w:eastAsia="Times New Roman"/>
                <w:i/>
                <w:highlight w:val="green"/>
                <w:lang w:eastAsia="zh-CN"/>
              </w:rPr>
              <w:t>victimSystemType</w:t>
            </w:r>
            <w:r w:rsidRPr="00904DF4">
              <w:rPr>
                <w:rFonts w:eastAsia="Times New Roman"/>
                <w:lang w:eastAsia="zh-CN"/>
              </w:rPr>
              <w:t xml:space="preserve"> for each UL CA</w:t>
            </w:r>
            <w:r>
              <w:rPr>
                <w:rFonts w:eastAsia="Times New Roman"/>
                <w:lang w:eastAsia="zh-CN"/>
              </w:rPr>
              <w:t xml:space="preserve"> or MR-DC</w:t>
            </w:r>
            <w:r w:rsidRPr="00904DF4">
              <w:rPr>
                <w:rFonts w:eastAsia="Times New Roman"/>
                <w:lang w:eastAsia="zh-CN"/>
              </w:rPr>
              <w:t xml:space="preserve"> combination included in </w:t>
            </w:r>
            <w:proofErr w:type="gramStart"/>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w:t>
            </w:r>
            <w:proofErr w:type="gramEnd"/>
          </w:p>
          <w:p w14:paraId="51F3225A" w14:textId="77777777" w:rsidR="002503FB" w:rsidRPr="00904DF4" w:rsidRDefault="002503FB" w:rsidP="002503FB">
            <w:pPr>
              <w:ind w:start="56.75pt" w:hanging="14.20pt"/>
              <w:rPr>
                <w:rFonts w:eastAsia="Times New Roma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rPr>
              <w:t xml:space="preserve">to </w:t>
            </w:r>
            <w:r w:rsidRPr="00904DF4">
              <w:rPr>
                <w:rFonts w:eastAsia="Times New Roman"/>
                <w:i/>
              </w:rPr>
              <w:t>wlan</w:t>
            </w:r>
            <w:r w:rsidRPr="00904DF4">
              <w:rPr>
                <w:rFonts w:eastAsia="Times New Roman"/>
              </w:rPr>
              <w:t xml:space="preserve"> or </w:t>
            </w:r>
            <w:r w:rsidRPr="00904DF4">
              <w:rPr>
                <w:rFonts w:eastAsia="Times New Roman"/>
                <w:i/>
              </w:rPr>
              <w:t>bluetooth</w:t>
            </w:r>
            <w:r w:rsidRPr="00904DF4">
              <w:rPr>
                <w:rFonts w:eastAsia="Times New Roman"/>
              </w:rPr>
              <w:t>:</w:t>
            </w:r>
          </w:p>
          <w:p w14:paraId="7779BEFE" w14:textId="77777777" w:rsidR="002503FB" w:rsidRDefault="002503FB" w:rsidP="002503FB">
            <w:pPr>
              <w:ind w:start="70.90pt" w:hanging="14.20pt"/>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with an entry for each supported UL CA</w:t>
            </w:r>
            <w:r>
              <w:rPr>
                <w:rFonts w:eastAsia="Times New Roman"/>
                <w:lang w:eastAsia="zh-CN"/>
              </w:rPr>
              <w:t xml:space="preserve"> or MR-DC</w:t>
            </w:r>
            <w:r w:rsidRPr="00904DF4">
              <w:rPr>
                <w:rFonts w:eastAsia="Times New Roman"/>
                <w:lang w:eastAsia="zh-CN"/>
              </w:rPr>
              <w:t xml:space="preserve"> combination comprising of frequenc</w:t>
            </w:r>
            <w:r>
              <w:rPr>
                <w:rFonts w:eastAsia="Times New Roman"/>
                <w:lang w:eastAsia="zh-CN"/>
              </w:rPr>
              <w:t>y ranges</w:t>
            </w:r>
            <w:r w:rsidRPr="00904DF4">
              <w:rPr>
                <w:rFonts w:eastAsia="Times New Roman"/>
                <w:lang w:eastAsia="zh-CN"/>
              </w:rPr>
              <w:t xml:space="preserve"> that is affected by IDC </w:t>
            </w:r>
            <w:proofErr w:type="gramStart"/>
            <w:r w:rsidRPr="00904DF4">
              <w:rPr>
                <w:rFonts w:eastAsia="Times New Roman"/>
                <w:lang w:eastAsia="zh-CN"/>
              </w:rPr>
              <w:t>problems;</w:t>
            </w:r>
            <w:proofErr w:type="gramEnd"/>
          </w:p>
          <w:p w14:paraId="14A1107C" w14:textId="77777777" w:rsidR="002503FB" w:rsidRPr="00904DF4" w:rsidRDefault="002503FB" w:rsidP="002503FB">
            <w:pPr>
              <w:ind w:start="70.90pt" w:hanging="14.20pt"/>
              <w:rPr>
                <w:rFonts w:eastAsia="Times New Roman"/>
                <w:lang w:eastAsia="zh-CN"/>
              </w:rPr>
            </w:pPr>
            <w:r w:rsidRPr="00904DF4">
              <w:rPr>
                <w:rFonts w:eastAsia="Times New Roman"/>
                <w:lang w:eastAsia="zh-CN"/>
              </w:rPr>
              <w:t>4&gt;</w:t>
            </w:r>
            <w:r w:rsidRPr="00904DF4">
              <w:rPr>
                <w:rFonts w:eastAsia="Times New Roman"/>
                <w:lang w:eastAsia="zh-CN"/>
              </w:rPr>
              <w:tab/>
              <w:t xml:space="preserve">for </w:t>
            </w:r>
            <w:r>
              <w:rPr>
                <w:rFonts w:eastAsia="Times New Roman"/>
                <w:lang w:eastAsia="zh-CN"/>
              </w:rPr>
              <w:t xml:space="preserve">each affected frequency range in the </w:t>
            </w:r>
            <w:r w:rsidRPr="00904DF4">
              <w:rPr>
                <w:rFonts w:eastAsia="Times New Roman"/>
                <w:lang w:eastAsia="zh-CN"/>
              </w:rPr>
              <w:t>UL CA</w:t>
            </w:r>
            <w:r>
              <w:rPr>
                <w:rFonts w:eastAsia="Times New Roman"/>
                <w:lang w:eastAsia="zh-CN"/>
              </w:rPr>
              <w:t xml:space="preserve"> or MR-DC</w:t>
            </w:r>
            <w:r w:rsidRPr="00904DF4">
              <w:rPr>
                <w:rFonts w:eastAsia="Times New Roman"/>
                <w:lang w:eastAsia="zh-CN"/>
              </w:rPr>
              <w:t xml:space="preserve"> combination, include </w:t>
            </w:r>
            <w:r w:rsidRPr="00010B99">
              <w:rPr>
                <w:rFonts w:eastAsia="Times New Roman"/>
                <w:i/>
                <w:iCs/>
                <w:lang w:eastAsia="zh-CN"/>
              </w:rPr>
              <w:t>centerFreq</w:t>
            </w:r>
            <w:r w:rsidRPr="0043152C">
              <w:rPr>
                <w:rFonts w:eastAsia="Times New Roman"/>
                <w:lang w:eastAsia="zh-CN"/>
              </w:rPr>
              <w:t xml:space="preserve"> </w:t>
            </w:r>
            <w:r w:rsidRPr="00257635">
              <w:rPr>
                <w:rFonts w:eastAsia="Times New Roman"/>
                <w:lang w:eastAsia="zh-CN"/>
              </w:rPr>
              <w:t xml:space="preserve">and </w:t>
            </w:r>
            <w:proofErr w:type="gramStart"/>
            <w:r w:rsidRPr="00F84CDA">
              <w:rPr>
                <w:rFonts w:eastAsia="Times New Roman"/>
                <w:i/>
                <w:iCs/>
                <w:lang w:eastAsia="zh-CN"/>
              </w:rPr>
              <w:t>affectedBandwidth</w:t>
            </w:r>
            <w:r w:rsidRPr="00904DF4">
              <w:rPr>
                <w:rFonts w:eastAsia="Times New Roman"/>
                <w:lang w:eastAsia="zh-CN"/>
              </w:rPr>
              <w:t>;</w:t>
            </w:r>
            <w:proofErr w:type="gramEnd"/>
          </w:p>
          <w:p w14:paraId="0202226B" w14:textId="77777777" w:rsidR="002503FB" w:rsidRPr="00904DF4" w:rsidRDefault="002503FB" w:rsidP="002503FB">
            <w:pPr>
              <w:ind w:start="56.75pt" w:hanging="14.20pt"/>
              <w:rPr>
                <w:rFonts w:eastAsia="Times New Roma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rPr>
              <w:t>else:</w:t>
            </w:r>
          </w:p>
          <w:p w14:paraId="26EF0D48" w14:textId="77777777" w:rsidR="002503FB" w:rsidRDefault="002503FB" w:rsidP="002503FB">
            <w:pPr>
              <w:ind w:start="70.90pt" w:hanging="14.20pt"/>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with an entry for each supported UL CA</w:t>
            </w:r>
            <w:r>
              <w:rPr>
                <w:rFonts w:eastAsia="Times New Roman"/>
                <w:lang w:eastAsia="zh-CN"/>
              </w:rPr>
              <w:t xml:space="preserve"> or MR-DC</w:t>
            </w:r>
            <w:r w:rsidRPr="00904DF4">
              <w:rPr>
                <w:rFonts w:eastAsia="Times New Roman"/>
                <w:lang w:eastAsia="zh-CN"/>
              </w:rPr>
              <w:t xml:space="preserve"> combination comprising of frequenc</w:t>
            </w:r>
            <w:r>
              <w:rPr>
                <w:rFonts w:eastAsia="Times New Roman"/>
                <w:lang w:eastAsia="zh-CN"/>
              </w:rPr>
              <w:t>y ranges</w:t>
            </w:r>
            <w:r w:rsidRPr="00904DF4">
              <w:rPr>
                <w:rFonts w:eastAsia="Times New Roman"/>
                <w:lang w:eastAsia="zh-CN"/>
              </w:rPr>
              <w:t xml:space="preserve"> that is affected by IDC </w:t>
            </w:r>
            <w:proofErr w:type="gramStart"/>
            <w:r w:rsidRPr="00904DF4">
              <w:rPr>
                <w:rFonts w:eastAsia="Times New Roman"/>
                <w:lang w:eastAsia="zh-CN"/>
              </w:rPr>
              <w:t>problems;</w:t>
            </w:r>
            <w:proofErr w:type="gramEnd"/>
          </w:p>
          <w:p w14:paraId="3BDD55A8" w14:textId="77777777" w:rsidR="002503FB" w:rsidRDefault="002503FB" w:rsidP="002503FB">
            <w:pPr>
              <w:ind w:start="70.90pt" w:hanging="14.20pt"/>
              <w:rPr>
                <w:rFonts w:eastAsia="Times New Roman"/>
              </w:rPr>
            </w:pPr>
            <w:r w:rsidRPr="00904DF4">
              <w:rPr>
                <w:rFonts w:eastAsia="Times New Roman"/>
                <w:lang w:eastAsia="zh-CN"/>
              </w:rPr>
              <w:t>4&gt;</w:t>
            </w:r>
            <w:r w:rsidRPr="00904DF4">
              <w:rPr>
                <w:rFonts w:eastAsia="Times New Roman"/>
                <w:lang w:eastAsia="zh-CN"/>
              </w:rPr>
              <w:tab/>
              <w:t xml:space="preserve">for </w:t>
            </w:r>
            <w:r>
              <w:rPr>
                <w:rFonts w:eastAsia="Times New Roman"/>
                <w:lang w:eastAsia="zh-CN"/>
              </w:rPr>
              <w:t xml:space="preserve">each affected frequency range in the </w:t>
            </w:r>
            <w:r w:rsidRPr="00904DF4">
              <w:rPr>
                <w:rFonts w:eastAsia="Times New Roman"/>
                <w:lang w:eastAsia="zh-CN"/>
              </w:rPr>
              <w:t>UL CA</w:t>
            </w:r>
            <w:r w:rsidRPr="00EB285E">
              <w:rPr>
                <w:rFonts w:eastAsia="Times New Roman"/>
                <w:lang w:eastAsia="zh-CN"/>
              </w:rPr>
              <w:t xml:space="preserve"> </w:t>
            </w:r>
            <w:r>
              <w:rPr>
                <w:rFonts w:eastAsia="Times New Roman"/>
                <w:lang w:eastAsia="zh-CN"/>
              </w:rPr>
              <w:t>or MR-DC</w:t>
            </w:r>
            <w:r w:rsidRPr="00904DF4">
              <w:rPr>
                <w:rFonts w:eastAsia="Times New Roman"/>
                <w:lang w:eastAsia="zh-CN"/>
              </w:rPr>
              <w:t xml:space="preserve"> combination, include </w:t>
            </w:r>
            <w:r w:rsidRPr="00010B99">
              <w:rPr>
                <w:rFonts w:eastAsia="Times New Roman"/>
                <w:i/>
                <w:iCs/>
                <w:lang w:eastAsia="zh-CN"/>
              </w:rPr>
              <w:t>centerFreq</w:t>
            </w:r>
            <w:r w:rsidRPr="0043152C">
              <w:rPr>
                <w:rFonts w:eastAsia="Times New Roman"/>
                <w:lang w:eastAsia="zh-CN"/>
              </w:rPr>
              <w:t xml:space="preserve"> </w:t>
            </w:r>
            <w:r w:rsidRPr="00257635">
              <w:rPr>
                <w:rFonts w:eastAsia="Times New Roman"/>
                <w:lang w:eastAsia="zh-CN"/>
              </w:rPr>
              <w:t xml:space="preserve">and </w:t>
            </w:r>
            <w:proofErr w:type="gramStart"/>
            <w:r w:rsidRPr="00F84CDA">
              <w:rPr>
                <w:rFonts w:eastAsia="Times New Roman"/>
                <w:i/>
                <w:iCs/>
                <w:lang w:eastAsia="zh-CN"/>
              </w:rPr>
              <w:t>affectedBandwidth</w:t>
            </w:r>
            <w:r w:rsidRPr="00904DF4">
              <w:rPr>
                <w:rFonts w:eastAsia="Times New Roman"/>
                <w:lang w:eastAsia="zh-CN"/>
              </w:rPr>
              <w:t>;</w:t>
            </w:r>
            <w:proofErr w:type="gramEnd"/>
          </w:p>
          <w:p w14:paraId="50B3AC82" w14:textId="77777777" w:rsidR="002503FB" w:rsidRDefault="002503FB" w:rsidP="009404C6"/>
        </w:tc>
      </w:tr>
    </w:tbl>
    <w:p w14:paraId="7E11A764" w14:textId="77777777" w:rsidR="0063098F" w:rsidRDefault="002503FB" w:rsidP="009404C6">
      <w:r>
        <w:t xml:space="preserve">As can be seen from the text above, the field </w:t>
      </w:r>
      <w:r w:rsidRPr="002503FB">
        <w:rPr>
          <w:i/>
          <w:iCs/>
        </w:rPr>
        <w:t xml:space="preserve">victimSystemType </w:t>
      </w:r>
      <w:r>
        <w:t xml:space="preserve">in the report can be only included when reporting of UL CA and MR DC. Thus, the UE is only restricted to reporting </w:t>
      </w:r>
      <w:r w:rsidRPr="002503FB">
        <w:rPr>
          <w:i/>
          <w:iCs/>
        </w:rPr>
        <w:t>victimSystemType</w:t>
      </w:r>
      <w:r>
        <w:rPr>
          <w:i/>
          <w:iCs/>
        </w:rPr>
        <w:t xml:space="preserve"> </w:t>
      </w:r>
      <w:r>
        <w:t xml:space="preserve">when reporting a UL-CA or MR-DC frequency issue but not when reporting </w:t>
      </w:r>
      <w:r w:rsidR="0063098F">
        <w:t xml:space="preserve">adjacent frequency issues. In our view, this restriction does not make sense and is not properly motivated, there is no reason why the gNB can use this information only for frequency combination IMD reporting but not for single frequency adjacent IDC reporting. </w:t>
      </w:r>
    </w:p>
    <w:p w14:paraId="181C5FAB" w14:textId="66C0C386" w:rsidR="002503FB" w:rsidRPr="00575D7A" w:rsidRDefault="0063098F" w:rsidP="009404C6">
      <w:pPr>
        <w:rPr>
          <w:b/>
          <w:bCs/>
        </w:rPr>
      </w:pPr>
      <w:r w:rsidRPr="00575D7A">
        <w:rPr>
          <w:b/>
          <w:bCs/>
        </w:rPr>
        <w:t xml:space="preserve">Observation 1:   </w:t>
      </w:r>
      <w:r w:rsidRPr="00575D7A">
        <w:rPr>
          <w:b/>
          <w:bCs/>
          <w:i/>
          <w:iCs/>
        </w:rPr>
        <w:t xml:space="preserve">victimSystemType </w:t>
      </w:r>
      <w:r w:rsidRPr="00575D7A">
        <w:rPr>
          <w:b/>
          <w:bCs/>
        </w:rPr>
        <w:t xml:space="preserve">reporting is restricted to UL CA/MR-DC IMD reporting only in the current running CR. </w:t>
      </w:r>
    </w:p>
    <w:p w14:paraId="21C8C1E6" w14:textId="77777777" w:rsidR="0063098F" w:rsidRPr="00575D7A" w:rsidRDefault="0063098F" w:rsidP="009404C6">
      <w:pPr>
        <w:rPr>
          <w:b/>
          <w:bCs/>
        </w:rPr>
      </w:pPr>
      <w:r w:rsidRPr="00575D7A">
        <w:rPr>
          <w:b/>
          <w:bCs/>
        </w:rPr>
        <w:t xml:space="preserve">Proposal 1: UE can optionally include </w:t>
      </w:r>
      <w:r w:rsidRPr="00575D7A">
        <w:rPr>
          <w:b/>
          <w:bCs/>
          <w:i/>
          <w:iCs/>
        </w:rPr>
        <w:t xml:space="preserve">victimSystemType </w:t>
      </w:r>
      <w:r w:rsidRPr="00575D7A">
        <w:rPr>
          <w:b/>
          <w:bCs/>
        </w:rPr>
        <w:t xml:space="preserve">field in individual frequency range reporting. </w:t>
      </w:r>
    </w:p>
    <w:p w14:paraId="0C19E61E" w14:textId="084CF1B9" w:rsidR="0063098F" w:rsidRDefault="0063098F" w:rsidP="009404C6">
      <w:r>
        <w:t xml:space="preserve">On the same topic, we note that the fields currently allowed are gps, glonass, bds, galileo, wlan, bluetooth have been inherited from Rel11 LTE.  We argue that the newer generations of UE can also now support Ultra-Wide Band UWB Tx/Rx operations </w:t>
      </w:r>
      <w:r w:rsidR="00240D3D">
        <w:t xml:space="preserve">which can also cause and be affected by IDC issues due to the nature of their transmission operation. </w:t>
      </w:r>
    </w:p>
    <w:p w14:paraId="0AE20DC4" w14:textId="359753DB" w:rsidR="00240D3D" w:rsidRDefault="00240D3D" w:rsidP="009404C6">
      <w:pPr>
        <w:rPr>
          <w:b/>
          <w:bCs/>
          <w:i/>
          <w:iCs/>
        </w:rPr>
      </w:pPr>
      <w:r w:rsidRPr="00240D3D">
        <w:rPr>
          <w:b/>
          <w:bCs/>
        </w:rPr>
        <w:t xml:space="preserve">Proposal 2: “uwb” is added as a field value in </w:t>
      </w:r>
      <w:r w:rsidRPr="00240D3D">
        <w:rPr>
          <w:b/>
          <w:bCs/>
          <w:i/>
          <w:iCs/>
        </w:rPr>
        <w:t>victimSystemType</w:t>
      </w:r>
      <w:r>
        <w:rPr>
          <w:b/>
          <w:bCs/>
          <w:i/>
          <w:iCs/>
        </w:rPr>
        <w:t xml:space="preserve">. </w:t>
      </w:r>
    </w:p>
    <w:p w14:paraId="78804381" w14:textId="02849086" w:rsidR="00513498" w:rsidRPr="00900CA9" w:rsidRDefault="00513498" w:rsidP="00513498">
      <w:pPr>
        <w:rPr>
          <w:lang w:val="en-US"/>
        </w:rPr>
      </w:pPr>
      <w:r w:rsidRPr="00513498">
        <w:rPr>
          <w:rStyle w:val="Heading1Char"/>
        </w:rPr>
        <w:t>Whole Bandwidth</w:t>
      </w:r>
    </w:p>
    <w:p w14:paraId="0978C091" w14:textId="05D193D6" w:rsidR="00513498" w:rsidRDefault="00513498" w:rsidP="009404C6">
      <w:r>
        <w:lastRenderedPageBreak/>
        <w:t>In the last meeting, there is the following agreement [2]:</w:t>
      </w:r>
    </w:p>
    <w:tbl>
      <w:tblPr>
        <w:tblStyle w:val="TableGrid"/>
        <w:tblW w:w="0pt" w:type="dxa"/>
        <w:tblLook w:firstRow="1" w:lastRow="0" w:firstColumn="1" w:lastColumn="0" w:noHBand="0" w:noVBand="1"/>
      </w:tblPr>
      <w:tblGrid>
        <w:gridCol w:w="9854"/>
      </w:tblGrid>
      <w:tr w:rsidR="00513498" w14:paraId="701549A5" w14:textId="77777777" w:rsidTr="00513498">
        <w:tc>
          <w:tcPr>
            <w:tcW w:w="492.70pt" w:type="dxa"/>
          </w:tcPr>
          <w:p w14:paraId="64641F65" w14:textId="0D1A95DF" w:rsidR="00513498" w:rsidRPr="00513498" w:rsidRDefault="00513498" w:rsidP="009404C6">
            <w:pPr>
              <w:rPr>
                <w:rFonts w:ascii="Arial" w:hAnsi="Arial" w:cs="Arial"/>
              </w:rPr>
            </w:pPr>
            <w:r w:rsidRPr="00513498">
              <w:rPr>
                <w:rFonts w:ascii="Arial" w:hAnsi="Arial" w:cs="Arial"/>
              </w:rPr>
              <w:t>The gNB configures the candidate frequency ranges using (centre frequency + bandwidth) for which the UE should report IDC issues. Network may indicate the whole bandwidth of the freq.</w:t>
            </w:r>
          </w:p>
        </w:tc>
      </w:tr>
    </w:tbl>
    <w:p w14:paraId="59DE4410" w14:textId="1D13A294" w:rsidR="00240D3D" w:rsidRDefault="00513498" w:rsidP="009404C6">
      <w:r>
        <w:t xml:space="preserve">In the ongoing email discussion [3] we are trying to discern the meaning of “whole” bandwidth. The argument is that the gNB can configure the UE to report center frequency only while indicating the Bandwith as “whole” or not indicating Bandwidth at all. </w:t>
      </w:r>
    </w:p>
    <w:p w14:paraId="2383076E" w14:textId="4896C92F" w:rsidR="00513498" w:rsidRDefault="00513498" w:rsidP="009404C6">
      <w:r>
        <w:t>The issue would be:</w:t>
      </w:r>
    </w:p>
    <w:p w14:paraId="5BB0F4B4" w14:textId="1CAD84D3" w:rsidR="00513498" w:rsidRDefault="00513498" w:rsidP="00513498">
      <w:pPr>
        <w:numPr>
          <w:ilvl w:val="0"/>
          <w:numId w:val="47"/>
        </w:numPr>
      </w:pPr>
      <w:r>
        <w:t xml:space="preserve">gNB can already configure any BW for reporting, unclear why it would not indicate this to the UE. </w:t>
      </w:r>
    </w:p>
    <w:p w14:paraId="47CD42FB" w14:textId="6F3A8DBD" w:rsidR="00513498" w:rsidRDefault="00513498" w:rsidP="00513498">
      <w:pPr>
        <w:numPr>
          <w:ilvl w:val="0"/>
          <w:numId w:val="47"/>
        </w:numPr>
      </w:pPr>
      <w:r w:rsidRPr="00513498">
        <w:t xml:space="preserve">RRC configuration is per cell, there is no </w:t>
      </w:r>
      <w:r>
        <w:t>“</w:t>
      </w:r>
      <w:r w:rsidRPr="00513498">
        <w:t>whole</w:t>
      </w:r>
      <w:r>
        <w:t>”</w:t>
      </w:r>
      <w:r w:rsidRPr="00513498">
        <w:t xml:space="preserve"> band configuration for the </w:t>
      </w:r>
      <w:proofErr w:type="gramStart"/>
      <w:r w:rsidRPr="00513498">
        <w:t>RRC</w:t>
      </w:r>
      <w:proofErr w:type="gramEnd"/>
    </w:p>
    <w:p w14:paraId="345C7B28" w14:textId="52A165C6" w:rsidR="00513498" w:rsidRDefault="00513498" w:rsidP="00513498">
      <w:pPr>
        <w:numPr>
          <w:ilvl w:val="0"/>
          <w:numId w:val="47"/>
        </w:numPr>
      </w:pPr>
      <w:r>
        <w:t xml:space="preserve">This would not be straightforward to interpret for non-serving </w:t>
      </w:r>
      <w:proofErr w:type="gramStart"/>
      <w:r>
        <w:t>cell</w:t>
      </w:r>
      <w:proofErr w:type="gramEnd"/>
    </w:p>
    <w:p w14:paraId="14CA4349" w14:textId="6A09FCE9" w:rsidR="00513498" w:rsidRDefault="00513498" w:rsidP="00513498">
      <w:pPr>
        <w:numPr>
          <w:ilvl w:val="0"/>
          <w:numId w:val="47"/>
        </w:numPr>
      </w:pPr>
      <w:r>
        <w:t xml:space="preserve">UE can already indicate a set of carrier frequencies affected by IDC in Rel-16, unclear why the gNB would not configure that if it does not need BW information. </w:t>
      </w:r>
    </w:p>
    <w:p w14:paraId="1C386D69" w14:textId="0DEFA648" w:rsidR="00513498" w:rsidRPr="00513498" w:rsidRDefault="00513498" w:rsidP="00513498">
      <w:pPr>
        <w:rPr>
          <w:b/>
          <w:bCs/>
        </w:rPr>
      </w:pPr>
      <w:r w:rsidRPr="00513498">
        <w:rPr>
          <w:b/>
          <w:bCs/>
        </w:rPr>
        <w:t>Proposal 3: gNB configures a specific centre frequency and BW for reporting in IDC.</w:t>
      </w:r>
    </w:p>
    <w:p w14:paraId="00D4524F" w14:textId="77777777" w:rsidR="00473049" w:rsidRDefault="00473049" w:rsidP="008D0C29">
      <w:pPr>
        <w:pStyle w:val="Heading1"/>
        <w:numPr>
          <w:ilvl w:val="0"/>
          <w:numId w:val="0"/>
        </w:numPr>
      </w:pPr>
      <w:r>
        <w:t>Conclusions</w:t>
      </w:r>
    </w:p>
    <w:bookmarkEnd w:id="0"/>
    <w:p w14:paraId="287F9142" w14:textId="77777777" w:rsidR="00513498" w:rsidRPr="00575D7A" w:rsidRDefault="00513498" w:rsidP="00513498">
      <w:pPr>
        <w:rPr>
          <w:b/>
          <w:bCs/>
        </w:rPr>
      </w:pPr>
      <w:r w:rsidRPr="00575D7A">
        <w:rPr>
          <w:b/>
          <w:bCs/>
        </w:rPr>
        <w:t xml:space="preserve">Observation 1:   </w:t>
      </w:r>
      <w:r w:rsidRPr="00575D7A">
        <w:rPr>
          <w:b/>
          <w:bCs/>
          <w:i/>
          <w:iCs/>
        </w:rPr>
        <w:t xml:space="preserve">victimSystemType </w:t>
      </w:r>
      <w:r w:rsidRPr="00575D7A">
        <w:rPr>
          <w:b/>
          <w:bCs/>
        </w:rPr>
        <w:t xml:space="preserve">reporting is restricted to UL CA/MR-DC IMD reporting only in the current running CR. </w:t>
      </w:r>
    </w:p>
    <w:p w14:paraId="40F44B0C" w14:textId="77777777" w:rsidR="00513498" w:rsidRPr="00575D7A" w:rsidRDefault="00513498" w:rsidP="00513498">
      <w:pPr>
        <w:rPr>
          <w:b/>
          <w:bCs/>
        </w:rPr>
      </w:pPr>
      <w:r w:rsidRPr="00575D7A">
        <w:rPr>
          <w:b/>
          <w:bCs/>
        </w:rPr>
        <w:t xml:space="preserve">Proposal 1: UE can optionally include </w:t>
      </w:r>
      <w:r w:rsidRPr="00575D7A">
        <w:rPr>
          <w:b/>
          <w:bCs/>
          <w:i/>
          <w:iCs/>
        </w:rPr>
        <w:t xml:space="preserve">victimSystemType </w:t>
      </w:r>
      <w:r w:rsidRPr="00575D7A">
        <w:rPr>
          <w:b/>
          <w:bCs/>
        </w:rPr>
        <w:t xml:space="preserve">field in individual frequency range reporting. </w:t>
      </w:r>
    </w:p>
    <w:p w14:paraId="76EFDC6E" w14:textId="77777777" w:rsidR="00513498" w:rsidRDefault="00513498" w:rsidP="00513498">
      <w:pPr>
        <w:rPr>
          <w:b/>
          <w:bCs/>
          <w:i/>
          <w:iCs/>
        </w:rPr>
      </w:pPr>
      <w:r w:rsidRPr="00240D3D">
        <w:rPr>
          <w:b/>
          <w:bCs/>
        </w:rPr>
        <w:t xml:space="preserve">Proposal 2: “uwb” is added as a field value in </w:t>
      </w:r>
      <w:r w:rsidRPr="00240D3D">
        <w:rPr>
          <w:b/>
          <w:bCs/>
          <w:i/>
          <w:iCs/>
        </w:rPr>
        <w:t>victimSystemType</w:t>
      </w:r>
      <w:r>
        <w:rPr>
          <w:b/>
          <w:bCs/>
          <w:i/>
          <w:iCs/>
        </w:rPr>
        <w:t xml:space="preserve">. </w:t>
      </w:r>
    </w:p>
    <w:p w14:paraId="6AE85654" w14:textId="77777777" w:rsidR="00513498" w:rsidRPr="00513498" w:rsidRDefault="00513498" w:rsidP="00513498">
      <w:pPr>
        <w:rPr>
          <w:b/>
          <w:bCs/>
        </w:rPr>
      </w:pPr>
      <w:r w:rsidRPr="00513498">
        <w:rPr>
          <w:b/>
          <w:bCs/>
        </w:rPr>
        <w:t>Proposal 3: gNB configures a specific centre frequency and BW for reporting in IDC.</w:t>
      </w:r>
    </w:p>
    <w:p w14:paraId="267BE20D" w14:textId="77777777" w:rsidR="00353DF2" w:rsidRPr="00383F56" w:rsidRDefault="00353DF2" w:rsidP="00513498">
      <w:pPr>
        <w:pStyle w:val="Heading1"/>
        <w:numPr>
          <w:ilvl w:val="0"/>
          <w:numId w:val="0"/>
        </w:numPr>
      </w:pPr>
      <w:r w:rsidRPr="00383F56">
        <w:t>References</w:t>
      </w:r>
    </w:p>
    <w:p w14:paraId="799BD64D" w14:textId="77777777" w:rsidR="00B760DA" w:rsidRDefault="00B760DA" w:rsidP="00B760DA">
      <w:pPr>
        <w:numPr>
          <w:ilvl w:val="0"/>
          <w:numId w:val="3"/>
        </w:numPr>
        <w:rPr>
          <w:bCs/>
        </w:rPr>
      </w:pPr>
      <w:bookmarkStart w:id="1" w:name="_Hlk85553987"/>
      <w:r w:rsidRPr="008947B0">
        <w:rPr>
          <w:bCs/>
        </w:rPr>
        <w:t>RP-213589</w:t>
      </w:r>
      <w:r>
        <w:rPr>
          <w:bCs/>
        </w:rPr>
        <w:t xml:space="preserve">: </w:t>
      </w:r>
      <w:r w:rsidRPr="008947B0">
        <w:rPr>
          <w:bCs/>
        </w:rPr>
        <w:t>New WI: In-Device Co-existence (IDC) enhancements for NR and MR-DC</w:t>
      </w:r>
    </w:p>
    <w:p w14:paraId="6A79300C" w14:textId="7FFDE200" w:rsidR="00D8263D" w:rsidRDefault="00D8263D" w:rsidP="00B760DA">
      <w:pPr>
        <w:numPr>
          <w:ilvl w:val="0"/>
          <w:numId w:val="3"/>
        </w:numPr>
        <w:rPr>
          <w:bCs/>
        </w:rPr>
      </w:pPr>
      <w:r>
        <w:rPr>
          <w:bCs/>
        </w:rPr>
        <w:t>RAN2 1</w:t>
      </w:r>
      <w:r w:rsidR="006930FF">
        <w:rPr>
          <w:bCs/>
        </w:rPr>
        <w:t>2</w:t>
      </w:r>
      <w:r w:rsidR="00513498">
        <w:rPr>
          <w:bCs/>
        </w:rPr>
        <w:t>1</w:t>
      </w:r>
      <w:r>
        <w:rPr>
          <w:bCs/>
        </w:rPr>
        <w:t xml:space="preserve"> Chairman Notes</w:t>
      </w:r>
    </w:p>
    <w:p w14:paraId="0C4F5515" w14:textId="10BB30D0" w:rsidR="00D97B84" w:rsidRPr="00513498" w:rsidRDefault="006930FF" w:rsidP="00513498">
      <w:pPr>
        <w:ind w:start="18pt"/>
        <w:rPr>
          <w:bCs/>
        </w:rPr>
      </w:pPr>
      <w:r>
        <w:rPr>
          <w:bCs/>
        </w:rPr>
        <w:t>[</w:t>
      </w:r>
      <w:r w:rsidR="00513498">
        <w:rPr>
          <w:bCs/>
        </w:rPr>
        <w:t>3</w:t>
      </w:r>
      <w:r>
        <w:rPr>
          <w:bCs/>
        </w:rPr>
        <w:t xml:space="preserve">] </w:t>
      </w:r>
      <w:bookmarkEnd w:id="1"/>
      <w:r w:rsidR="00513498" w:rsidRPr="00513498">
        <w:rPr>
          <w:bCs/>
        </w:rPr>
        <w:t>R2-23xxxxx</w:t>
      </w:r>
      <w:r w:rsidR="00513498">
        <w:rPr>
          <w:bCs/>
        </w:rPr>
        <w:t xml:space="preserve"> </w:t>
      </w:r>
      <w:r w:rsidR="00513498" w:rsidRPr="00513498">
        <w:rPr>
          <w:bCs/>
        </w:rPr>
        <w:t>[Post121][</w:t>
      </w:r>
      <w:proofErr w:type="gramStart"/>
      <w:r w:rsidR="00513498" w:rsidRPr="00513498">
        <w:rPr>
          <w:bCs/>
        </w:rPr>
        <w:t>655][</w:t>
      </w:r>
      <w:proofErr w:type="gramEnd"/>
      <w:r w:rsidR="00513498" w:rsidRPr="00513498">
        <w:rPr>
          <w:bCs/>
        </w:rPr>
        <w:t>IDC] Discussion on Leftover issues for IDC (xiaomi)</w:t>
      </w:r>
    </w:p>
    <w:p w14:paraId="5A7FC1E5" w14:textId="77777777" w:rsidR="00D97B84" w:rsidRPr="00D97B84" w:rsidRDefault="00D97B84" w:rsidP="00D97B84"/>
    <w:p w14:paraId="723E6207" w14:textId="77777777" w:rsidR="00F93D55" w:rsidRDefault="00F93D55" w:rsidP="001E7C4D">
      <w:pPr>
        <w:rPr>
          <w:b/>
          <w:bCs/>
          <w:color w:val="auto"/>
        </w:rPr>
        <w:sectPr w:rsidR="00F93D55" w:rsidSect="00F93D55">
          <w:headerReference w:type="even" r:id="rId12"/>
          <w:headerReference w:type="default" r:id="rId13"/>
          <w:footerReference w:type="even" r:id="rId14"/>
          <w:footerReference w:type="default" r:id="rId15"/>
          <w:headerReference w:type="first" r:id="rId16"/>
          <w:footerReference w:type="first" r:id="rId17"/>
          <w:type w:val="continuous"/>
          <w:pgSz w:w="595.30pt" w:h="841.90pt" w:code="9"/>
          <w:pgMar w:top="56.70pt" w:right="56.70pt" w:bottom="56.70pt" w:left="56.70pt" w:header="36.85pt" w:footer="28.35pt" w:gutter="0pt"/>
          <w:cols w:space="36pt"/>
        </w:sectPr>
      </w:pPr>
    </w:p>
    <w:p w14:paraId="5E439FB3" w14:textId="77777777" w:rsidR="00EC5C54" w:rsidRPr="001551D9" w:rsidRDefault="00EC5C54" w:rsidP="0012645F">
      <w:pPr>
        <w:rPr>
          <w:highlight w:val="cyan"/>
        </w:rPr>
      </w:pPr>
    </w:p>
    <w:sectPr w:rsidR="00EC5C54" w:rsidRPr="001551D9" w:rsidSect="00F93D55">
      <w:type w:val="continuous"/>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5FC29FD" w14:textId="77777777" w:rsidR="00EC19C9" w:rsidRDefault="00EC19C9">
      <w:r>
        <w:separator/>
      </w:r>
    </w:p>
    <w:p w14:paraId="75E3BA34" w14:textId="77777777" w:rsidR="00EC19C9" w:rsidRDefault="00EC19C9"/>
  </w:endnote>
  <w:endnote w:type="continuationSeparator" w:id="0">
    <w:p w14:paraId="7E802C38" w14:textId="77777777" w:rsidR="00EC19C9" w:rsidRDefault="00EC19C9">
      <w:r>
        <w:continuationSeparator/>
      </w:r>
    </w:p>
    <w:p w14:paraId="162D6678" w14:textId="77777777" w:rsidR="00EC19C9" w:rsidRDefault="00EC19C9"/>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rial Bold">
    <w:altName w:val="Arial"/>
    <w:panose1 w:val="020B0704020202020204"/>
    <w:charset w:characterSet="iso-8859-1"/>
    <w:family w:val="modern"/>
    <w:pitch w:val="default"/>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4002EFF" w:usb1="C000247B" w:usb2="00000009" w:usb3="00000000" w:csb0="000001FF" w:csb1="00000000"/>
  </w:font>
  <w:font w:name="PMingLiU">
    <w:altName w:val="新細明體"/>
    <w:panose1 w:val="02010601000101010101"/>
    <w:charset w:characterSet="Big5"/>
    <w:family w:val="roman"/>
    <w:pitch w:val="variable"/>
    <w:sig w:usb0="A00002FF" w:usb1="28CFFCFA" w:usb2="00000016" w:usb3="00000000" w:csb0="00100001"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980E06C" w14:textId="77777777" w:rsidR="000A0716" w:rsidRDefault="000A0716">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DDE2275" w14:textId="77777777" w:rsidR="000A0716" w:rsidRDefault="000A0716">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1150741" w14:textId="77777777" w:rsidR="000A0716" w:rsidRDefault="000A071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0B679FC" w14:textId="77777777" w:rsidR="00EC19C9" w:rsidRDefault="00EC19C9">
      <w:r>
        <w:separator/>
      </w:r>
    </w:p>
    <w:p w14:paraId="2372AC2A" w14:textId="77777777" w:rsidR="00EC19C9" w:rsidRDefault="00EC19C9"/>
  </w:footnote>
  <w:footnote w:type="continuationSeparator" w:id="0">
    <w:p w14:paraId="165ABDDE" w14:textId="77777777" w:rsidR="00EC19C9" w:rsidRDefault="00EC19C9">
      <w:r>
        <w:continuationSeparator/>
      </w:r>
    </w:p>
    <w:p w14:paraId="32329F2E" w14:textId="77777777" w:rsidR="00EC19C9" w:rsidRDefault="00EC19C9"/>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BF123E7" w14:textId="77777777" w:rsidR="00C2201A" w:rsidRDefault="00C2201A"/>
  <w:p w14:paraId="3CFB1223" w14:textId="77777777" w:rsidR="00C2201A" w:rsidRDefault="00C2201A"/>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3D7AF6" w14:textId="77777777" w:rsidR="00C2201A" w:rsidRDefault="00C2201A">
    <w:pPr>
      <w:framePr w:w="47.30pt" w:h="13.60pt" w:hRule="exact" w:wrap="around" w:vAnchor="text" w:hAnchor="margin" w:xAlign="center" w:y="0.05pt"/>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7</w:t>
    </w:r>
    <w:r>
      <w:rPr>
        <w:rFonts w:ascii="Arial" w:hAnsi="Arial" w:cs="Arial"/>
        <w:b/>
        <w:bCs/>
        <w:sz w:val="18"/>
      </w:rPr>
      <w:fldChar w:fldCharType="end"/>
    </w:r>
  </w:p>
  <w:p w14:paraId="79A307EE" w14:textId="77777777" w:rsidR="00C2201A" w:rsidRDefault="00C2201A"/>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4F635E" w14:textId="77777777" w:rsidR="000A0716" w:rsidRDefault="000A071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200049"/>
    <w:multiLevelType w:val="hybridMultilevel"/>
    <w:tmpl w:val="3ACADED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 w15:restartNumberingAfterBreak="0">
    <w:nsid w:val="07D22552"/>
    <w:multiLevelType w:val="hybridMultilevel"/>
    <w:tmpl w:val="6642673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B9B64DB"/>
    <w:multiLevelType w:val="hybridMultilevel"/>
    <w:tmpl w:val="FF62D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0F37694F"/>
    <w:multiLevelType w:val="hybridMultilevel"/>
    <w:tmpl w:val="A70E3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0FAA26FD"/>
    <w:multiLevelType w:val="hybridMultilevel"/>
    <w:tmpl w:val="D52EC13E"/>
    <w:lvl w:ilvl="0" w:tplc="04090001">
      <w:start w:val="1"/>
      <w:numFmt w:val="bullet"/>
      <w:lvlText w:val=""/>
      <w:lvlJc w:val="start"/>
      <w:pPr>
        <w:ind w:start="38.25pt" w:hanging="18pt"/>
      </w:pPr>
      <w:rPr>
        <w:rFonts w:ascii="Symbol" w:hAnsi="Symbol" w:hint="default"/>
      </w:rPr>
    </w:lvl>
    <w:lvl w:ilvl="1" w:tplc="04090003" w:tentative="1">
      <w:start w:val="1"/>
      <w:numFmt w:val="bullet"/>
      <w:lvlText w:val="o"/>
      <w:lvlJc w:val="start"/>
      <w:pPr>
        <w:ind w:start="74.25pt" w:hanging="18pt"/>
      </w:pPr>
      <w:rPr>
        <w:rFonts w:ascii="Courier New" w:hAnsi="Courier New" w:cs="Courier New" w:hint="default"/>
      </w:rPr>
    </w:lvl>
    <w:lvl w:ilvl="2" w:tplc="04090005" w:tentative="1">
      <w:start w:val="1"/>
      <w:numFmt w:val="bullet"/>
      <w:lvlText w:val=""/>
      <w:lvlJc w:val="start"/>
      <w:pPr>
        <w:ind w:start="110.25pt" w:hanging="18pt"/>
      </w:pPr>
      <w:rPr>
        <w:rFonts w:ascii="Wingdings" w:hAnsi="Wingdings" w:hint="default"/>
      </w:rPr>
    </w:lvl>
    <w:lvl w:ilvl="3" w:tplc="04090001" w:tentative="1">
      <w:start w:val="1"/>
      <w:numFmt w:val="bullet"/>
      <w:lvlText w:val=""/>
      <w:lvlJc w:val="start"/>
      <w:pPr>
        <w:ind w:start="146.25pt" w:hanging="18pt"/>
      </w:pPr>
      <w:rPr>
        <w:rFonts w:ascii="Symbol" w:hAnsi="Symbol" w:hint="default"/>
      </w:rPr>
    </w:lvl>
    <w:lvl w:ilvl="4" w:tplc="04090003" w:tentative="1">
      <w:start w:val="1"/>
      <w:numFmt w:val="bullet"/>
      <w:lvlText w:val="o"/>
      <w:lvlJc w:val="start"/>
      <w:pPr>
        <w:ind w:start="182.25pt" w:hanging="18pt"/>
      </w:pPr>
      <w:rPr>
        <w:rFonts w:ascii="Courier New" w:hAnsi="Courier New" w:cs="Courier New" w:hint="default"/>
      </w:rPr>
    </w:lvl>
    <w:lvl w:ilvl="5" w:tplc="04090005" w:tentative="1">
      <w:start w:val="1"/>
      <w:numFmt w:val="bullet"/>
      <w:lvlText w:val=""/>
      <w:lvlJc w:val="start"/>
      <w:pPr>
        <w:ind w:start="218.25pt" w:hanging="18pt"/>
      </w:pPr>
      <w:rPr>
        <w:rFonts w:ascii="Wingdings" w:hAnsi="Wingdings" w:hint="default"/>
      </w:rPr>
    </w:lvl>
    <w:lvl w:ilvl="6" w:tplc="04090001" w:tentative="1">
      <w:start w:val="1"/>
      <w:numFmt w:val="bullet"/>
      <w:lvlText w:val=""/>
      <w:lvlJc w:val="start"/>
      <w:pPr>
        <w:ind w:start="254.25pt" w:hanging="18pt"/>
      </w:pPr>
      <w:rPr>
        <w:rFonts w:ascii="Symbol" w:hAnsi="Symbol" w:hint="default"/>
      </w:rPr>
    </w:lvl>
    <w:lvl w:ilvl="7" w:tplc="04090003" w:tentative="1">
      <w:start w:val="1"/>
      <w:numFmt w:val="bullet"/>
      <w:lvlText w:val="o"/>
      <w:lvlJc w:val="start"/>
      <w:pPr>
        <w:ind w:start="290.25pt" w:hanging="18pt"/>
      </w:pPr>
      <w:rPr>
        <w:rFonts w:ascii="Courier New" w:hAnsi="Courier New" w:cs="Courier New" w:hint="default"/>
      </w:rPr>
    </w:lvl>
    <w:lvl w:ilvl="8" w:tplc="04090005" w:tentative="1">
      <w:start w:val="1"/>
      <w:numFmt w:val="bullet"/>
      <w:lvlText w:val=""/>
      <w:lvlJc w:val="start"/>
      <w:pPr>
        <w:ind w:start="326.25pt" w:hanging="18pt"/>
      </w:pPr>
      <w:rPr>
        <w:rFonts w:ascii="Wingdings" w:hAnsi="Wingdings" w:hint="default"/>
      </w:rPr>
    </w:lvl>
  </w:abstractNum>
  <w:abstractNum w:abstractNumId="5" w15:restartNumberingAfterBreak="0">
    <w:nsid w:val="12893A9B"/>
    <w:multiLevelType w:val="hybridMultilevel"/>
    <w:tmpl w:val="18EA1E4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4B22C3F"/>
    <w:multiLevelType w:val="multilevel"/>
    <w:tmpl w:val="14B22C3F"/>
    <w:lvl w:ilvl="0">
      <w:start w:val="1"/>
      <w:numFmt w:val="bullet"/>
      <w:lvlText w:val=""/>
      <w:lvlJc w:val="start"/>
      <w:rPr>
        <w:rFonts w:ascii="Symbol" w:hAnsi="Symbol" w:hint="default"/>
        <w:color w:val="000000"/>
      </w:rPr>
    </w:lvl>
    <w:lvl w:ilvl="1">
      <w:start w:val="1"/>
      <w:numFmt w:val="bullet"/>
      <w:lvlText w:val="o"/>
      <w:lvlJc w:val="start"/>
      <w:pPr>
        <w:ind w:start="75.25pt" w:hanging="18pt"/>
      </w:pPr>
      <w:rPr>
        <w:rFonts w:ascii="Courier New" w:hAnsi="Courier New" w:cs="Courier New" w:hint="default"/>
      </w:rPr>
    </w:lvl>
    <w:lvl w:ilvl="2">
      <w:start w:val="1"/>
      <w:numFmt w:val="bullet"/>
      <w:lvlText w:val=""/>
      <w:lvlJc w:val="start"/>
      <w:pPr>
        <w:ind w:start="111.25pt" w:hanging="18pt"/>
      </w:pPr>
      <w:rPr>
        <w:rFonts w:ascii="Wingdings" w:hAnsi="Wingdings" w:hint="default"/>
      </w:rPr>
    </w:lvl>
    <w:lvl w:ilvl="3">
      <w:start w:val="1"/>
      <w:numFmt w:val="bullet"/>
      <w:lvlText w:val=""/>
      <w:lvlJc w:val="start"/>
      <w:pPr>
        <w:ind w:start="147.25pt" w:hanging="18pt"/>
      </w:pPr>
      <w:rPr>
        <w:rFonts w:ascii="Symbol" w:hAnsi="Symbol" w:hint="default"/>
      </w:rPr>
    </w:lvl>
    <w:lvl w:ilvl="4">
      <w:start w:val="1"/>
      <w:numFmt w:val="bullet"/>
      <w:lvlText w:val="o"/>
      <w:lvlJc w:val="start"/>
      <w:pPr>
        <w:ind w:start="183.25pt" w:hanging="18pt"/>
      </w:pPr>
      <w:rPr>
        <w:rFonts w:ascii="Courier New" w:hAnsi="Courier New" w:cs="Courier New" w:hint="default"/>
      </w:rPr>
    </w:lvl>
    <w:lvl w:ilvl="5">
      <w:start w:val="1"/>
      <w:numFmt w:val="bullet"/>
      <w:lvlText w:val=""/>
      <w:lvlJc w:val="start"/>
      <w:pPr>
        <w:ind w:start="219.25pt" w:hanging="18pt"/>
      </w:pPr>
      <w:rPr>
        <w:rFonts w:ascii="Wingdings" w:hAnsi="Wingdings" w:hint="default"/>
      </w:rPr>
    </w:lvl>
    <w:lvl w:ilvl="6">
      <w:start w:val="1"/>
      <w:numFmt w:val="bullet"/>
      <w:lvlText w:val=""/>
      <w:lvlJc w:val="start"/>
      <w:pPr>
        <w:ind w:start="255.25pt" w:hanging="18pt"/>
      </w:pPr>
      <w:rPr>
        <w:rFonts w:ascii="Symbol" w:hAnsi="Symbol" w:hint="default"/>
      </w:rPr>
    </w:lvl>
    <w:lvl w:ilvl="7">
      <w:start w:val="1"/>
      <w:numFmt w:val="bullet"/>
      <w:lvlText w:val="o"/>
      <w:lvlJc w:val="start"/>
      <w:pPr>
        <w:ind w:start="291.25pt" w:hanging="18pt"/>
      </w:pPr>
      <w:rPr>
        <w:rFonts w:ascii="Courier New" w:hAnsi="Courier New" w:cs="Courier New" w:hint="default"/>
      </w:rPr>
    </w:lvl>
    <w:lvl w:ilvl="8">
      <w:start w:val="1"/>
      <w:numFmt w:val="bullet"/>
      <w:lvlText w:val=""/>
      <w:lvlJc w:val="start"/>
      <w:pPr>
        <w:ind w:start="327.25pt" w:hanging="18pt"/>
      </w:pPr>
      <w:rPr>
        <w:rFonts w:ascii="Wingdings" w:hAnsi="Wingdings" w:hint="default"/>
      </w:rPr>
    </w:lvl>
  </w:abstractNum>
  <w:abstractNum w:abstractNumId="7" w15:restartNumberingAfterBreak="0">
    <w:nsid w:val="19672849"/>
    <w:multiLevelType w:val="hybridMultilevel"/>
    <w:tmpl w:val="84D09114"/>
    <w:lvl w:ilvl="0" w:tplc="0409000F">
      <w:start w:val="1"/>
      <w:numFmt w:val="decimal"/>
      <w:lvlText w:val="%1."/>
      <w:lvlJc w:val="start"/>
      <w:pPr>
        <w:ind w:start="36pt" w:hanging="18pt"/>
      </w:pPr>
      <w:rPr>
        <w:rFont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9D81FCD"/>
    <w:multiLevelType w:val="multilevel"/>
    <w:tmpl w:val="19D81FC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9" w15:restartNumberingAfterBreak="0">
    <w:nsid w:val="200D3B3B"/>
    <w:multiLevelType w:val="hybridMultilevel"/>
    <w:tmpl w:val="EC5C087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21C9577D"/>
    <w:multiLevelType w:val="hybridMultilevel"/>
    <w:tmpl w:val="545E11E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230A6D94"/>
    <w:multiLevelType w:val="multilevel"/>
    <w:tmpl w:val="7B2CD562"/>
    <w:styleLink w:val="ListNumbers"/>
    <w:lvl w:ilvl="0">
      <w:start w:val="1"/>
      <w:numFmt w:val="decimal"/>
      <w:pStyle w:val="ListNumber"/>
      <w:lvlText w:val="%1."/>
      <w:lvlJc w:val="start"/>
      <w:pPr>
        <w:tabs>
          <w:tab w:val="num" w:pos="17pt"/>
        </w:tabs>
        <w:ind w:start="34pt" w:hanging="17pt"/>
      </w:pPr>
      <w:rPr>
        <w:rFonts w:hint="default"/>
      </w:rPr>
    </w:lvl>
    <w:lvl w:ilvl="1">
      <w:start w:val="1"/>
      <w:numFmt w:val="lowerLetter"/>
      <w:pStyle w:val="Listletter"/>
      <w:lvlText w:val="%2)"/>
      <w:lvlJc w:val="start"/>
      <w:pPr>
        <w:tabs>
          <w:tab w:val="num" w:pos="51pt"/>
        </w:tabs>
        <w:ind w:start="68pt" w:hanging="17pt"/>
      </w:pPr>
      <w:rPr>
        <w:rFonts w:hint="default"/>
      </w:rPr>
    </w:lvl>
    <w:lvl w:ilvl="2">
      <w:start w:val="1"/>
      <w:numFmt w:val="lowerRoman"/>
      <w:pStyle w:val="ListParagraphRomans"/>
      <w:lvlText w:val="%3."/>
      <w:lvlJc w:val="start"/>
      <w:pPr>
        <w:tabs>
          <w:tab w:val="num" w:pos="85pt"/>
        </w:tabs>
        <w:ind w:start="102pt" w:hanging="17pt"/>
      </w:pPr>
      <w:rPr>
        <w:rFonts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12" w15:restartNumberingAfterBreak="0">
    <w:nsid w:val="25A27C41"/>
    <w:multiLevelType w:val="hybridMultilevel"/>
    <w:tmpl w:val="A7F8704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96409A8"/>
    <w:multiLevelType w:val="hybridMultilevel"/>
    <w:tmpl w:val="070E243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30C37481"/>
    <w:multiLevelType w:val="hybridMultilevel"/>
    <w:tmpl w:val="9C5606F4"/>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6" w15:restartNumberingAfterBreak="0">
    <w:nsid w:val="341663F8"/>
    <w:multiLevelType w:val="hybridMultilevel"/>
    <w:tmpl w:val="F7CE5980"/>
    <w:lvl w:ilvl="0" w:tplc="E58848EE">
      <w:start w:val="1"/>
      <w:numFmt w:val="bullet"/>
      <w:lvlText w:val="•"/>
      <w:lvlJc w:val="start"/>
      <w:pPr>
        <w:tabs>
          <w:tab w:val="num" w:pos="36pt"/>
        </w:tabs>
        <w:ind w:start="36pt" w:hanging="18pt"/>
      </w:pPr>
      <w:rPr>
        <w:rFonts w:ascii="Arial" w:hAnsi="Arial" w:hint="default"/>
      </w:rPr>
    </w:lvl>
    <w:lvl w:ilvl="1" w:tplc="519C5E9E" w:tentative="1">
      <w:start w:val="1"/>
      <w:numFmt w:val="bullet"/>
      <w:lvlText w:val="•"/>
      <w:lvlJc w:val="start"/>
      <w:pPr>
        <w:tabs>
          <w:tab w:val="num" w:pos="72pt"/>
        </w:tabs>
        <w:ind w:start="72pt" w:hanging="18pt"/>
      </w:pPr>
      <w:rPr>
        <w:rFonts w:ascii="Arial" w:hAnsi="Arial" w:hint="default"/>
      </w:rPr>
    </w:lvl>
    <w:lvl w:ilvl="2" w:tplc="30DCC2C2" w:tentative="1">
      <w:start w:val="1"/>
      <w:numFmt w:val="bullet"/>
      <w:lvlText w:val="•"/>
      <w:lvlJc w:val="start"/>
      <w:pPr>
        <w:tabs>
          <w:tab w:val="num" w:pos="108pt"/>
        </w:tabs>
        <w:ind w:start="108pt" w:hanging="18pt"/>
      </w:pPr>
      <w:rPr>
        <w:rFonts w:ascii="Arial" w:hAnsi="Arial" w:hint="default"/>
      </w:rPr>
    </w:lvl>
    <w:lvl w:ilvl="3" w:tplc="0D26D518" w:tentative="1">
      <w:start w:val="1"/>
      <w:numFmt w:val="bullet"/>
      <w:lvlText w:val="•"/>
      <w:lvlJc w:val="start"/>
      <w:pPr>
        <w:tabs>
          <w:tab w:val="num" w:pos="144pt"/>
        </w:tabs>
        <w:ind w:start="144pt" w:hanging="18pt"/>
      </w:pPr>
      <w:rPr>
        <w:rFonts w:ascii="Arial" w:hAnsi="Arial" w:hint="default"/>
      </w:rPr>
    </w:lvl>
    <w:lvl w:ilvl="4" w:tplc="9496B3AC" w:tentative="1">
      <w:start w:val="1"/>
      <w:numFmt w:val="bullet"/>
      <w:lvlText w:val="•"/>
      <w:lvlJc w:val="start"/>
      <w:pPr>
        <w:tabs>
          <w:tab w:val="num" w:pos="180pt"/>
        </w:tabs>
        <w:ind w:start="180pt" w:hanging="18pt"/>
      </w:pPr>
      <w:rPr>
        <w:rFonts w:ascii="Arial" w:hAnsi="Arial" w:hint="default"/>
      </w:rPr>
    </w:lvl>
    <w:lvl w:ilvl="5" w:tplc="7AF807D0" w:tentative="1">
      <w:start w:val="1"/>
      <w:numFmt w:val="bullet"/>
      <w:lvlText w:val="•"/>
      <w:lvlJc w:val="start"/>
      <w:pPr>
        <w:tabs>
          <w:tab w:val="num" w:pos="216pt"/>
        </w:tabs>
        <w:ind w:start="216pt" w:hanging="18pt"/>
      </w:pPr>
      <w:rPr>
        <w:rFonts w:ascii="Arial" w:hAnsi="Arial" w:hint="default"/>
      </w:rPr>
    </w:lvl>
    <w:lvl w:ilvl="6" w:tplc="2662EDC0" w:tentative="1">
      <w:start w:val="1"/>
      <w:numFmt w:val="bullet"/>
      <w:lvlText w:val="•"/>
      <w:lvlJc w:val="start"/>
      <w:pPr>
        <w:tabs>
          <w:tab w:val="num" w:pos="252pt"/>
        </w:tabs>
        <w:ind w:start="252pt" w:hanging="18pt"/>
      </w:pPr>
      <w:rPr>
        <w:rFonts w:ascii="Arial" w:hAnsi="Arial" w:hint="default"/>
      </w:rPr>
    </w:lvl>
    <w:lvl w:ilvl="7" w:tplc="808637C0" w:tentative="1">
      <w:start w:val="1"/>
      <w:numFmt w:val="bullet"/>
      <w:lvlText w:val="•"/>
      <w:lvlJc w:val="start"/>
      <w:pPr>
        <w:tabs>
          <w:tab w:val="num" w:pos="288pt"/>
        </w:tabs>
        <w:ind w:start="288pt" w:hanging="18pt"/>
      </w:pPr>
      <w:rPr>
        <w:rFonts w:ascii="Arial" w:hAnsi="Arial" w:hint="default"/>
      </w:rPr>
    </w:lvl>
    <w:lvl w:ilvl="8" w:tplc="4322DC3C"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start"/>
      <w:pPr>
        <w:tabs>
          <w:tab w:val="num" w:pos="65.20pt"/>
        </w:tabs>
        <w:ind w:start="65.20pt" w:hanging="65.2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8" w15:restartNumberingAfterBreak="0">
    <w:nsid w:val="3C5F4E43"/>
    <w:multiLevelType w:val="hybridMultilevel"/>
    <w:tmpl w:val="42F05858"/>
    <w:lvl w:ilvl="0" w:tplc="04150019">
      <w:start w:val="1"/>
      <w:numFmt w:val="lowerLetter"/>
      <w:lvlText w:val="%1."/>
      <w:lvlJc w:val="start"/>
      <w:pPr>
        <w:ind w:start="72pt" w:hanging="18pt"/>
      </w:pPr>
    </w:lvl>
    <w:lvl w:ilvl="1" w:tplc="04150019" w:tentative="1">
      <w:start w:val="1"/>
      <w:numFmt w:val="lowerLetter"/>
      <w:lvlText w:val="%2."/>
      <w:lvlJc w:val="start"/>
      <w:pPr>
        <w:ind w:start="108pt" w:hanging="18pt"/>
      </w:pPr>
    </w:lvl>
    <w:lvl w:ilvl="2" w:tplc="0415001B" w:tentative="1">
      <w:start w:val="1"/>
      <w:numFmt w:val="lowerRoman"/>
      <w:lvlText w:val="%3."/>
      <w:lvlJc w:val="end"/>
      <w:pPr>
        <w:ind w:start="144pt" w:hanging="9pt"/>
      </w:pPr>
    </w:lvl>
    <w:lvl w:ilvl="3" w:tplc="0415000F" w:tentative="1">
      <w:start w:val="1"/>
      <w:numFmt w:val="decimal"/>
      <w:lvlText w:val="%4."/>
      <w:lvlJc w:val="start"/>
      <w:pPr>
        <w:ind w:start="180pt" w:hanging="18pt"/>
      </w:pPr>
    </w:lvl>
    <w:lvl w:ilvl="4" w:tplc="04150019" w:tentative="1">
      <w:start w:val="1"/>
      <w:numFmt w:val="lowerLetter"/>
      <w:lvlText w:val="%5."/>
      <w:lvlJc w:val="start"/>
      <w:pPr>
        <w:ind w:start="216pt" w:hanging="18pt"/>
      </w:pPr>
    </w:lvl>
    <w:lvl w:ilvl="5" w:tplc="0415001B" w:tentative="1">
      <w:start w:val="1"/>
      <w:numFmt w:val="lowerRoman"/>
      <w:lvlText w:val="%6."/>
      <w:lvlJc w:val="end"/>
      <w:pPr>
        <w:ind w:start="252pt" w:hanging="9pt"/>
      </w:pPr>
    </w:lvl>
    <w:lvl w:ilvl="6" w:tplc="0415000F" w:tentative="1">
      <w:start w:val="1"/>
      <w:numFmt w:val="decimal"/>
      <w:lvlText w:val="%7."/>
      <w:lvlJc w:val="start"/>
      <w:pPr>
        <w:ind w:start="288pt" w:hanging="18pt"/>
      </w:pPr>
    </w:lvl>
    <w:lvl w:ilvl="7" w:tplc="04150019" w:tentative="1">
      <w:start w:val="1"/>
      <w:numFmt w:val="lowerLetter"/>
      <w:lvlText w:val="%8."/>
      <w:lvlJc w:val="start"/>
      <w:pPr>
        <w:ind w:start="324pt" w:hanging="18pt"/>
      </w:pPr>
    </w:lvl>
    <w:lvl w:ilvl="8" w:tplc="0415001B" w:tentative="1">
      <w:start w:val="1"/>
      <w:numFmt w:val="lowerRoman"/>
      <w:lvlText w:val="%9."/>
      <w:lvlJc w:val="end"/>
      <w:pPr>
        <w:ind w:start="360pt" w:hanging="9pt"/>
      </w:pPr>
    </w:lvl>
  </w:abstractNum>
  <w:abstractNum w:abstractNumId="19" w15:restartNumberingAfterBreak="0">
    <w:nsid w:val="3C9C7030"/>
    <w:multiLevelType w:val="hybridMultilevel"/>
    <w:tmpl w:val="8534B1B8"/>
    <w:lvl w:ilvl="0" w:tplc="3DF42D9E">
      <w:start w:val="1"/>
      <w:numFmt w:val="decimal"/>
      <w:lvlText w:val="[%1]"/>
      <w:lvlJc w:val="start"/>
      <w:pPr>
        <w:ind w:start="36pt" w:hanging="18pt"/>
      </w:pPr>
      <w:rPr>
        <w:rFonts w:hint="default"/>
        <w:sz w:val="21"/>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3D6B6409"/>
    <w:multiLevelType w:val="hybridMultilevel"/>
    <w:tmpl w:val="D3785DC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3E3B207D"/>
    <w:multiLevelType w:val="hybridMultilevel"/>
    <w:tmpl w:val="1F86C20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3F1A05BA"/>
    <w:multiLevelType w:val="hybridMultilevel"/>
    <w:tmpl w:val="A4FA735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3FC93D01"/>
    <w:multiLevelType w:val="hybridMultilevel"/>
    <w:tmpl w:val="2570B5C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42C83C57"/>
    <w:multiLevelType w:val="hybridMultilevel"/>
    <w:tmpl w:val="474202CE"/>
    <w:lvl w:ilvl="0" w:tplc="04090001">
      <w:start w:val="1"/>
      <w:numFmt w:val="bullet"/>
      <w:lvlText w:val=""/>
      <w:lvlJc w:val="start"/>
      <w:pPr>
        <w:ind w:start="38.25pt" w:hanging="18pt"/>
      </w:pPr>
      <w:rPr>
        <w:rFonts w:ascii="Symbol" w:hAnsi="Symbol" w:hint="default"/>
      </w:rPr>
    </w:lvl>
    <w:lvl w:ilvl="1" w:tplc="04090003" w:tentative="1">
      <w:start w:val="1"/>
      <w:numFmt w:val="bullet"/>
      <w:lvlText w:val="o"/>
      <w:lvlJc w:val="start"/>
      <w:pPr>
        <w:ind w:start="74.25pt" w:hanging="18pt"/>
      </w:pPr>
      <w:rPr>
        <w:rFonts w:ascii="Courier New" w:hAnsi="Courier New" w:cs="Courier New" w:hint="default"/>
      </w:rPr>
    </w:lvl>
    <w:lvl w:ilvl="2" w:tplc="04090005" w:tentative="1">
      <w:start w:val="1"/>
      <w:numFmt w:val="bullet"/>
      <w:lvlText w:val=""/>
      <w:lvlJc w:val="start"/>
      <w:pPr>
        <w:ind w:start="110.25pt" w:hanging="18pt"/>
      </w:pPr>
      <w:rPr>
        <w:rFonts w:ascii="Wingdings" w:hAnsi="Wingdings" w:hint="default"/>
      </w:rPr>
    </w:lvl>
    <w:lvl w:ilvl="3" w:tplc="04090001" w:tentative="1">
      <w:start w:val="1"/>
      <w:numFmt w:val="bullet"/>
      <w:lvlText w:val=""/>
      <w:lvlJc w:val="start"/>
      <w:pPr>
        <w:ind w:start="146.25pt" w:hanging="18pt"/>
      </w:pPr>
      <w:rPr>
        <w:rFonts w:ascii="Symbol" w:hAnsi="Symbol" w:hint="default"/>
      </w:rPr>
    </w:lvl>
    <w:lvl w:ilvl="4" w:tplc="04090003" w:tentative="1">
      <w:start w:val="1"/>
      <w:numFmt w:val="bullet"/>
      <w:lvlText w:val="o"/>
      <w:lvlJc w:val="start"/>
      <w:pPr>
        <w:ind w:start="182.25pt" w:hanging="18pt"/>
      </w:pPr>
      <w:rPr>
        <w:rFonts w:ascii="Courier New" w:hAnsi="Courier New" w:cs="Courier New" w:hint="default"/>
      </w:rPr>
    </w:lvl>
    <w:lvl w:ilvl="5" w:tplc="04090005" w:tentative="1">
      <w:start w:val="1"/>
      <w:numFmt w:val="bullet"/>
      <w:lvlText w:val=""/>
      <w:lvlJc w:val="start"/>
      <w:pPr>
        <w:ind w:start="218.25pt" w:hanging="18pt"/>
      </w:pPr>
      <w:rPr>
        <w:rFonts w:ascii="Wingdings" w:hAnsi="Wingdings" w:hint="default"/>
      </w:rPr>
    </w:lvl>
    <w:lvl w:ilvl="6" w:tplc="04090001" w:tentative="1">
      <w:start w:val="1"/>
      <w:numFmt w:val="bullet"/>
      <w:lvlText w:val=""/>
      <w:lvlJc w:val="start"/>
      <w:pPr>
        <w:ind w:start="254.25pt" w:hanging="18pt"/>
      </w:pPr>
      <w:rPr>
        <w:rFonts w:ascii="Symbol" w:hAnsi="Symbol" w:hint="default"/>
      </w:rPr>
    </w:lvl>
    <w:lvl w:ilvl="7" w:tplc="04090003" w:tentative="1">
      <w:start w:val="1"/>
      <w:numFmt w:val="bullet"/>
      <w:lvlText w:val="o"/>
      <w:lvlJc w:val="start"/>
      <w:pPr>
        <w:ind w:start="290.25pt" w:hanging="18pt"/>
      </w:pPr>
      <w:rPr>
        <w:rFonts w:ascii="Courier New" w:hAnsi="Courier New" w:cs="Courier New" w:hint="default"/>
      </w:rPr>
    </w:lvl>
    <w:lvl w:ilvl="8" w:tplc="04090005" w:tentative="1">
      <w:start w:val="1"/>
      <w:numFmt w:val="bullet"/>
      <w:lvlText w:val=""/>
      <w:lvlJc w:val="start"/>
      <w:pPr>
        <w:ind w:start="326.25pt" w:hanging="18pt"/>
      </w:pPr>
      <w:rPr>
        <w:rFonts w:ascii="Wingdings" w:hAnsi="Wingdings" w:hint="default"/>
      </w:rPr>
    </w:lvl>
  </w:abstractNum>
  <w:abstractNum w:abstractNumId="25" w15:restartNumberingAfterBreak="0">
    <w:nsid w:val="44F11026"/>
    <w:multiLevelType w:val="hybridMultilevel"/>
    <w:tmpl w:val="63B0CF18"/>
    <w:lvl w:ilvl="0" w:tplc="A2EA8F78">
      <w:start w:val="1"/>
      <w:numFmt w:val="bullet"/>
      <w:lvlRestart w:val="0"/>
      <w:lvlText w:val=""/>
      <w:lvlJc w:val="start"/>
      <w:pPr>
        <w:ind w:start="36pt" w:hanging="18pt"/>
      </w:pPr>
      <w:rPr>
        <w:rFonts w:ascii="Wingdings" w:hAnsi="Wingding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60pt" w:hanging="20pt"/>
      </w:pPr>
      <w:rPr>
        <w:rFonts w:ascii="Courier New" w:hAnsi="Courier New" w:cs="Courier New" w:hint="default"/>
      </w:rPr>
    </w:lvl>
    <w:lvl w:ilvl="2" w:tplc="04090005">
      <w:start w:val="1"/>
      <w:numFmt w:val="bullet"/>
      <w:lvlText w:val=""/>
      <w:lvlJc w:val="start"/>
      <w:pPr>
        <w:ind w:start="80pt" w:hanging="20pt"/>
      </w:pPr>
      <w:rPr>
        <w:rFonts w:ascii="Wingdings" w:hAnsi="Wingdings" w:hint="default"/>
      </w:rPr>
    </w:lvl>
    <w:lvl w:ilvl="3" w:tplc="04090001">
      <w:start w:val="1"/>
      <w:numFmt w:val="bullet"/>
      <w:lvlText w:val=""/>
      <w:lvlJc w:val="start"/>
      <w:pPr>
        <w:ind w:start="100pt" w:hanging="20pt"/>
      </w:pPr>
      <w:rPr>
        <w:rFonts w:ascii="Wingdings" w:hAnsi="Wingdings" w:hint="default"/>
      </w:rPr>
    </w:lvl>
    <w:lvl w:ilvl="4" w:tplc="04090003">
      <w:start w:val="1"/>
      <w:numFmt w:val="bullet"/>
      <w:lvlText w:val=""/>
      <w:lvlJc w:val="start"/>
      <w:pPr>
        <w:ind w:start="120pt" w:hanging="20pt"/>
      </w:pPr>
      <w:rPr>
        <w:rFonts w:ascii="Wingdings" w:hAnsi="Wingdings" w:hint="default"/>
      </w:rPr>
    </w:lvl>
    <w:lvl w:ilvl="5" w:tplc="04090005">
      <w:start w:val="1"/>
      <w:numFmt w:val="bullet"/>
      <w:lvlText w:val=""/>
      <w:lvlJc w:val="start"/>
      <w:pPr>
        <w:ind w:start="140pt" w:hanging="20pt"/>
      </w:pPr>
      <w:rPr>
        <w:rFonts w:ascii="Wingdings" w:hAnsi="Wingdings" w:hint="default"/>
      </w:rPr>
    </w:lvl>
    <w:lvl w:ilvl="6" w:tplc="04090001">
      <w:start w:val="1"/>
      <w:numFmt w:val="bullet"/>
      <w:lvlText w:val=""/>
      <w:lvlJc w:val="start"/>
      <w:pPr>
        <w:ind w:start="160pt" w:hanging="20pt"/>
      </w:pPr>
      <w:rPr>
        <w:rFonts w:ascii="Wingdings" w:hAnsi="Wingdings" w:hint="default"/>
      </w:rPr>
    </w:lvl>
    <w:lvl w:ilvl="7" w:tplc="04090003">
      <w:start w:val="1"/>
      <w:numFmt w:val="bullet"/>
      <w:lvlText w:val=""/>
      <w:lvlJc w:val="start"/>
      <w:pPr>
        <w:ind w:start="180pt" w:hanging="20pt"/>
      </w:pPr>
      <w:rPr>
        <w:rFonts w:ascii="Wingdings" w:hAnsi="Wingdings" w:hint="default"/>
      </w:rPr>
    </w:lvl>
    <w:lvl w:ilvl="8" w:tplc="04090005">
      <w:start w:val="1"/>
      <w:numFmt w:val="bullet"/>
      <w:lvlText w:val=""/>
      <w:lvlJc w:val="start"/>
      <w:pPr>
        <w:ind w:start="200pt" w:hanging="20pt"/>
      </w:pPr>
      <w:rPr>
        <w:rFonts w:ascii="Wingdings" w:hAnsi="Wingdings" w:hint="default"/>
      </w:rPr>
    </w:lvl>
  </w:abstractNum>
  <w:abstractNum w:abstractNumId="27" w15:restartNumberingAfterBreak="0">
    <w:nsid w:val="469509F0"/>
    <w:multiLevelType w:val="multilevel"/>
    <w:tmpl w:val="469509F0"/>
    <w:lvl w:ilvl="0">
      <w:start w:val="1"/>
      <w:numFmt w:val="bullet"/>
      <w:lvlText w:val=""/>
      <w:lvlJc w:val="start"/>
      <w:pPr>
        <w:tabs>
          <w:tab w:val="start" w:pos="36pt"/>
        </w:tabs>
        <w:ind w:start="36pt" w:hanging="18pt"/>
      </w:pPr>
      <w:rPr>
        <w:rFonts w:ascii="Symbol" w:hAnsi="Symbol" w:hint="default"/>
        <w:sz w:val="20"/>
      </w:rPr>
    </w:lvl>
    <w:lvl w:ilvl="1">
      <w:start w:val="1"/>
      <w:numFmt w:val="bullet"/>
      <w:lvlText w:val="o"/>
      <w:lvlJc w:val="start"/>
      <w:pPr>
        <w:tabs>
          <w:tab w:val="start" w:pos="72pt"/>
        </w:tabs>
        <w:ind w:start="72pt" w:hanging="18pt"/>
      </w:pPr>
      <w:rPr>
        <w:rFonts w:ascii="Courier New" w:hAnsi="Courier New" w:cs="Times New Roman" w:hint="default"/>
        <w:sz w:val="20"/>
      </w:rPr>
    </w:lvl>
    <w:lvl w:ilvl="2">
      <w:start w:val="1"/>
      <w:numFmt w:val="bullet"/>
      <w:lvlText w:val=""/>
      <w:lvlJc w:val="start"/>
      <w:pPr>
        <w:tabs>
          <w:tab w:val="start" w:pos="108pt"/>
        </w:tabs>
        <w:ind w:start="108pt" w:hanging="18pt"/>
      </w:pPr>
      <w:rPr>
        <w:rFonts w:ascii="Wingdings" w:hAnsi="Wingdings" w:hint="default"/>
        <w:sz w:val="20"/>
      </w:rPr>
    </w:lvl>
    <w:lvl w:ilvl="3">
      <w:start w:val="1"/>
      <w:numFmt w:val="bullet"/>
      <w:lvlText w:val=""/>
      <w:lvlJc w:val="start"/>
      <w:pPr>
        <w:tabs>
          <w:tab w:val="start" w:pos="144pt"/>
        </w:tabs>
        <w:ind w:start="144pt" w:hanging="18pt"/>
      </w:pPr>
      <w:rPr>
        <w:rFonts w:ascii="Wingdings" w:hAnsi="Wingdings" w:hint="default"/>
        <w:sz w:val="20"/>
      </w:rPr>
    </w:lvl>
    <w:lvl w:ilvl="4">
      <w:start w:val="1"/>
      <w:numFmt w:val="bullet"/>
      <w:lvlText w:val=""/>
      <w:lvlJc w:val="start"/>
      <w:pPr>
        <w:tabs>
          <w:tab w:val="start" w:pos="180pt"/>
        </w:tabs>
        <w:ind w:start="180pt" w:hanging="18pt"/>
      </w:pPr>
      <w:rPr>
        <w:rFonts w:ascii="Wingdings" w:hAnsi="Wingdings" w:hint="default"/>
        <w:sz w:val="20"/>
      </w:rPr>
    </w:lvl>
    <w:lvl w:ilvl="5">
      <w:start w:val="1"/>
      <w:numFmt w:val="bullet"/>
      <w:lvlText w:val=""/>
      <w:lvlJc w:val="start"/>
      <w:pPr>
        <w:tabs>
          <w:tab w:val="start" w:pos="216pt"/>
        </w:tabs>
        <w:ind w:start="216pt" w:hanging="18pt"/>
      </w:pPr>
      <w:rPr>
        <w:rFonts w:ascii="Wingdings" w:hAnsi="Wingdings" w:hint="default"/>
        <w:sz w:val="20"/>
      </w:rPr>
    </w:lvl>
    <w:lvl w:ilvl="6">
      <w:start w:val="1"/>
      <w:numFmt w:val="bullet"/>
      <w:lvlText w:val=""/>
      <w:lvlJc w:val="start"/>
      <w:pPr>
        <w:tabs>
          <w:tab w:val="start" w:pos="252pt"/>
        </w:tabs>
        <w:ind w:start="252pt" w:hanging="18pt"/>
      </w:pPr>
      <w:rPr>
        <w:rFonts w:ascii="Wingdings" w:hAnsi="Wingdings" w:hint="default"/>
        <w:sz w:val="20"/>
      </w:rPr>
    </w:lvl>
    <w:lvl w:ilvl="7">
      <w:start w:val="1"/>
      <w:numFmt w:val="bullet"/>
      <w:lvlText w:val=""/>
      <w:lvlJc w:val="start"/>
      <w:pPr>
        <w:tabs>
          <w:tab w:val="start" w:pos="288pt"/>
        </w:tabs>
        <w:ind w:start="288pt" w:hanging="18pt"/>
      </w:pPr>
      <w:rPr>
        <w:rFonts w:ascii="Wingdings" w:hAnsi="Wingdings" w:hint="default"/>
        <w:sz w:val="20"/>
      </w:rPr>
    </w:lvl>
    <w:lvl w:ilvl="8">
      <w:start w:val="1"/>
      <w:numFmt w:val="bullet"/>
      <w:lvlText w:val=""/>
      <w:lvlJc w:val="start"/>
      <w:pPr>
        <w:tabs>
          <w:tab w:val="start" w:pos="324pt"/>
        </w:tabs>
        <w:ind w:start="324pt" w:hanging="18pt"/>
      </w:pPr>
      <w:rPr>
        <w:rFonts w:ascii="Wingdings" w:hAnsi="Wingdings" w:hint="default"/>
        <w:sz w:val="20"/>
      </w:rPr>
    </w:lvl>
  </w:abstractNum>
  <w:abstractNum w:abstractNumId="28" w15:restartNumberingAfterBreak="0">
    <w:nsid w:val="4E3471EC"/>
    <w:multiLevelType w:val="hybridMultilevel"/>
    <w:tmpl w:val="4C26A464"/>
    <w:lvl w:ilvl="0" w:tplc="830CE1BA">
      <w:start w:val="1"/>
      <w:numFmt w:val="decimal"/>
      <w:lvlText w:val="%1."/>
      <w:lvlJc w:val="start"/>
      <w:pPr>
        <w:ind w:start="80.95pt" w:hanging="18pt"/>
      </w:pPr>
      <w:rPr>
        <w:rFonts w:hint="default"/>
      </w:rPr>
    </w:lvl>
    <w:lvl w:ilvl="1" w:tplc="04090019" w:tentative="1">
      <w:start w:val="1"/>
      <w:numFmt w:val="lowerLetter"/>
      <w:lvlText w:val="%2."/>
      <w:lvlJc w:val="start"/>
      <w:pPr>
        <w:ind w:start="116.95pt" w:hanging="18pt"/>
      </w:pPr>
    </w:lvl>
    <w:lvl w:ilvl="2" w:tplc="0409001B" w:tentative="1">
      <w:start w:val="1"/>
      <w:numFmt w:val="lowerRoman"/>
      <w:lvlText w:val="%3."/>
      <w:lvlJc w:val="end"/>
      <w:pPr>
        <w:ind w:start="152.95pt" w:hanging="9pt"/>
      </w:pPr>
    </w:lvl>
    <w:lvl w:ilvl="3" w:tplc="0409000F" w:tentative="1">
      <w:start w:val="1"/>
      <w:numFmt w:val="decimal"/>
      <w:lvlText w:val="%4."/>
      <w:lvlJc w:val="start"/>
      <w:pPr>
        <w:ind w:start="188.95pt" w:hanging="18pt"/>
      </w:pPr>
    </w:lvl>
    <w:lvl w:ilvl="4" w:tplc="04090019" w:tentative="1">
      <w:start w:val="1"/>
      <w:numFmt w:val="lowerLetter"/>
      <w:lvlText w:val="%5."/>
      <w:lvlJc w:val="start"/>
      <w:pPr>
        <w:ind w:start="224.95pt" w:hanging="18pt"/>
      </w:pPr>
    </w:lvl>
    <w:lvl w:ilvl="5" w:tplc="0409001B" w:tentative="1">
      <w:start w:val="1"/>
      <w:numFmt w:val="lowerRoman"/>
      <w:lvlText w:val="%6."/>
      <w:lvlJc w:val="end"/>
      <w:pPr>
        <w:ind w:start="260.95pt" w:hanging="9pt"/>
      </w:pPr>
    </w:lvl>
    <w:lvl w:ilvl="6" w:tplc="0409000F" w:tentative="1">
      <w:start w:val="1"/>
      <w:numFmt w:val="decimal"/>
      <w:lvlText w:val="%7."/>
      <w:lvlJc w:val="start"/>
      <w:pPr>
        <w:ind w:start="296.95pt" w:hanging="18pt"/>
      </w:pPr>
    </w:lvl>
    <w:lvl w:ilvl="7" w:tplc="04090019" w:tentative="1">
      <w:start w:val="1"/>
      <w:numFmt w:val="lowerLetter"/>
      <w:lvlText w:val="%8."/>
      <w:lvlJc w:val="start"/>
      <w:pPr>
        <w:ind w:start="332.95pt" w:hanging="18pt"/>
      </w:pPr>
    </w:lvl>
    <w:lvl w:ilvl="8" w:tplc="0409001B" w:tentative="1">
      <w:start w:val="1"/>
      <w:numFmt w:val="lowerRoman"/>
      <w:lvlText w:val="%9."/>
      <w:lvlJc w:val="end"/>
      <w:pPr>
        <w:ind w:start="368.95pt" w:hanging="9pt"/>
      </w:pPr>
    </w:lvl>
  </w:abstractNum>
  <w:abstractNum w:abstractNumId="29" w15:restartNumberingAfterBreak="0">
    <w:nsid w:val="4F441B11"/>
    <w:multiLevelType w:val="hybridMultilevel"/>
    <w:tmpl w:val="4D4CCF76"/>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501623A0"/>
    <w:multiLevelType w:val="hybridMultilevel"/>
    <w:tmpl w:val="E38C1CEA"/>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53425F61"/>
    <w:multiLevelType w:val="hybridMultilevel"/>
    <w:tmpl w:val="21C8581A"/>
    <w:lvl w:ilvl="0" w:tplc="0409000F">
      <w:start w:val="1"/>
      <w:numFmt w:val="decimal"/>
      <w:lvlText w:val="%1."/>
      <w:lvlJc w:val="start"/>
      <w:pPr>
        <w:ind w:start="36pt" w:hanging="18pt"/>
      </w:pPr>
      <w:rPr>
        <w:rFonts w:hint="default"/>
        <w:b w:val="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38C75C4"/>
    <w:multiLevelType w:val="multilevel"/>
    <w:tmpl w:val="65C485A0"/>
    <w:lvl w:ilvl="0">
      <w:start w:val="1"/>
      <w:numFmt w:val="decimal"/>
      <w:pStyle w:val="TableCaption"/>
      <w:suff w:val="nothing"/>
      <w:lvlText w:val="Table %1"/>
      <w:lvlJc w:val="start"/>
      <w:pPr>
        <w:ind w:start="18pt" w:hanging="18pt"/>
      </w:pPr>
      <w:rPr>
        <w:rFonts w:ascii="Arial Bold" w:hAnsi="Arial Bold" w:hint="default"/>
        <w:b/>
        <w:i w:val="0"/>
        <w:color w:val="auto"/>
        <w:sz w:val="22"/>
      </w:rPr>
    </w:lvl>
    <w:lvl w:ilvl="1">
      <w:start w:val="1"/>
      <w:numFmt w:val="decimal"/>
      <w:lvlText w:val="%2."/>
      <w:lvlJc w:val="start"/>
      <w:pPr>
        <w:tabs>
          <w:tab w:val="num" w:pos="72pt"/>
        </w:tabs>
        <w:ind w:start="72pt" w:hanging="18pt"/>
      </w:pPr>
      <w:rPr>
        <w:rFonts w:hint="default"/>
      </w:rPr>
    </w:lvl>
    <w:lvl w:ilvl="2">
      <w:start w:val="1"/>
      <w:numFmt w:val="lowerRoman"/>
      <w:lvlText w:val="%3."/>
      <w:lvlJc w:val="end"/>
      <w:pPr>
        <w:tabs>
          <w:tab w:val="num" w:pos="108pt"/>
        </w:tabs>
        <w:ind w:start="108pt" w:hanging="9pt"/>
      </w:pPr>
      <w:rPr>
        <w:rFonts w:hint="default"/>
      </w:rPr>
    </w:lvl>
    <w:lvl w:ilvl="3">
      <w:start w:val="1"/>
      <w:numFmt w:val="decimal"/>
      <w:lvlText w:val="%4."/>
      <w:lvlJc w:val="start"/>
      <w:pPr>
        <w:tabs>
          <w:tab w:val="num" w:pos="144pt"/>
        </w:tabs>
        <w:ind w:start="144pt" w:hanging="18pt"/>
      </w:pPr>
      <w:rPr>
        <w:rFonts w:hint="default"/>
      </w:rPr>
    </w:lvl>
    <w:lvl w:ilvl="4">
      <w:start w:val="1"/>
      <w:numFmt w:val="lowerLetter"/>
      <w:lvlText w:val="%5."/>
      <w:lvlJc w:val="start"/>
      <w:pPr>
        <w:tabs>
          <w:tab w:val="num" w:pos="180pt"/>
        </w:tabs>
        <w:ind w:start="180pt" w:hanging="18pt"/>
      </w:pPr>
      <w:rPr>
        <w:rFonts w:hint="default"/>
      </w:rPr>
    </w:lvl>
    <w:lvl w:ilvl="5">
      <w:start w:val="1"/>
      <w:numFmt w:val="lowerRoman"/>
      <w:lvlText w:val="%6."/>
      <w:lvlJc w:val="end"/>
      <w:pPr>
        <w:tabs>
          <w:tab w:val="num" w:pos="216pt"/>
        </w:tabs>
        <w:ind w:start="216pt" w:hanging="9pt"/>
      </w:pPr>
      <w:rPr>
        <w:rFonts w:hint="default"/>
      </w:rPr>
    </w:lvl>
    <w:lvl w:ilvl="6">
      <w:start w:val="1"/>
      <w:numFmt w:val="decimal"/>
      <w:lvlText w:val="%7."/>
      <w:lvlJc w:val="start"/>
      <w:pPr>
        <w:tabs>
          <w:tab w:val="num" w:pos="252pt"/>
        </w:tabs>
        <w:ind w:start="252pt" w:hanging="18pt"/>
      </w:pPr>
      <w:rPr>
        <w:rFonts w:hint="default"/>
      </w:rPr>
    </w:lvl>
    <w:lvl w:ilvl="7">
      <w:start w:val="1"/>
      <w:numFmt w:val="lowerLetter"/>
      <w:lvlText w:val="%8."/>
      <w:lvlJc w:val="start"/>
      <w:pPr>
        <w:tabs>
          <w:tab w:val="num" w:pos="288pt"/>
        </w:tabs>
        <w:ind w:start="288pt" w:hanging="18pt"/>
      </w:pPr>
      <w:rPr>
        <w:rFonts w:hint="default"/>
      </w:rPr>
    </w:lvl>
    <w:lvl w:ilvl="8">
      <w:start w:val="1"/>
      <w:numFmt w:val="lowerRoman"/>
      <w:lvlText w:val="%9."/>
      <w:lvlJc w:val="end"/>
      <w:pPr>
        <w:tabs>
          <w:tab w:val="num" w:pos="324pt"/>
        </w:tabs>
        <w:ind w:start="324pt" w:hanging="9pt"/>
      </w:pPr>
      <w:rPr>
        <w:rFonts w:hint="default"/>
      </w:rPr>
    </w:lvl>
  </w:abstractNum>
  <w:abstractNum w:abstractNumId="33" w15:restartNumberingAfterBreak="0">
    <w:nsid w:val="540F7DC3"/>
    <w:multiLevelType w:val="hybridMultilevel"/>
    <w:tmpl w:val="F90499B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82A7D5B"/>
    <w:multiLevelType w:val="hybridMultilevel"/>
    <w:tmpl w:val="AFAC092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27F7102"/>
    <w:multiLevelType w:val="hybridMultilevel"/>
    <w:tmpl w:val="A7CA6D5A"/>
    <w:lvl w:ilvl="0" w:tplc="E1EA4DB8">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6" w15:restartNumberingAfterBreak="0">
    <w:nsid w:val="695E144E"/>
    <w:multiLevelType w:val="hybridMultilevel"/>
    <w:tmpl w:val="64BC11A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7" w15:restartNumberingAfterBreak="0">
    <w:nsid w:val="6B3403DC"/>
    <w:multiLevelType w:val="hybridMultilevel"/>
    <w:tmpl w:val="8D4AD9B2"/>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6D3F48DD"/>
    <w:multiLevelType w:val="hybridMultilevel"/>
    <w:tmpl w:val="1F0A236A"/>
    <w:lvl w:ilvl="0" w:tplc="0616CEC4">
      <w:start w:val="1"/>
      <w:numFmt w:val="bullet"/>
      <w:lvlText w:val="•"/>
      <w:lvlJc w:val="start"/>
      <w:pPr>
        <w:tabs>
          <w:tab w:val="num" w:pos="36pt"/>
        </w:tabs>
        <w:ind w:start="36pt" w:hanging="18pt"/>
      </w:pPr>
      <w:rPr>
        <w:rFonts w:ascii="Arial" w:hAnsi="Arial" w:hint="default"/>
      </w:rPr>
    </w:lvl>
    <w:lvl w:ilvl="1" w:tplc="F5F669B4" w:tentative="1">
      <w:start w:val="1"/>
      <w:numFmt w:val="bullet"/>
      <w:lvlText w:val="•"/>
      <w:lvlJc w:val="start"/>
      <w:pPr>
        <w:tabs>
          <w:tab w:val="num" w:pos="72pt"/>
        </w:tabs>
        <w:ind w:start="72pt" w:hanging="18pt"/>
      </w:pPr>
      <w:rPr>
        <w:rFonts w:ascii="Arial" w:hAnsi="Arial" w:hint="default"/>
      </w:rPr>
    </w:lvl>
    <w:lvl w:ilvl="2" w:tplc="936E5960" w:tentative="1">
      <w:start w:val="1"/>
      <w:numFmt w:val="bullet"/>
      <w:lvlText w:val="•"/>
      <w:lvlJc w:val="start"/>
      <w:pPr>
        <w:tabs>
          <w:tab w:val="num" w:pos="108pt"/>
        </w:tabs>
        <w:ind w:start="108pt" w:hanging="18pt"/>
      </w:pPr>
      <w:rPr>
        <w:rFonts w:ascii="Arial" w:hAnsi="Arial" w:hint="default"/>
      </w:rPr>
    </w:lvl>
    <w:lvl w:ilvl="3" w:tplc="518A6C70" w:tentative="1">
      <w:start w:val="1"/>
      <w:numFmt w:val="bullet"/>
      <w:lvlText w:val="•"/>
      <w:lvlJc w:val="start"/>
      <w:pPr>
        <w:tabs>
          <w:tab w:val="num" w:pos="144pt"/>
        </w:tabs>
        <w:ind w:start="144pt" w:hanging="18pt"/>
      </w:pPr>
      <w:rPr>
        <w:rFonts w:ascii="Arial" w:hAnsi="Arial" w:hint="default"/>
      </w:rPr>
    </w:lvl>
    <w:lvl w:ilvl="4" w:tplc="A774ACEC" w:tentative="1">
      <w:start w:val="1"/>
      <w:numFmt w:val="bullet"/>
      <w:lvlText w:val="•"/>
      <w:lvlJc w:val="start"/>
      <w:pPr>
        <w:tabs>
          <w:tab w:val="num" w:pos="180pt"/>
        </w:tabs>
        <w:ind w:start="180pt" w:hanging="18pt"/>
      </w:pPr>
      <w:rPr>
        <w:rFonts w:ascii="Arial" w:hAnsi="Arial" w:hint="default"/>
      </w:rPr>
    </w:lvl>
    <w:lvl w:ilvl="5" w:tplc="8BDAB93C" w:tentative="1">
      <w:start w:val="1"/>
      <w:numFmt w:val="bullet"/>
      <w:lvlText w:val="•"/>
      <w:lvlJc w:val="start"/>
      <w:pPr>
        <w:tabs>
          <w:tab w:val="num" w:pos="216pt"/>
        </w:tabs>
        <w:ind w:start="216pt" w:hanging="18pt"/>
      </w:pPr>
      <w:rPr>
        <w:rFonts w:ascii="Arial" w:hAnsi="Arial" w:hint="default"/>
      </w:rPr>
    </w:lvl>
    <w:lvl w:ilvl="6" w:tplc="C212D5CC" w:tentative="1">
      <w:start w:val="1"/>
      <w:numFmt w:val="bullet"/>
      <w:lvlText w:val="•"/>
      <w:lvlJc w:val="start"/>
      <w:pPr>
        <w:tabs>
          <w:tab w:val="num" w:pos="252pt"/>
        </w:tabs>
        <w:ind w:start="252pt" w:hanging="18pt"/>
      </w:pPr>
      <w:rPr>
        <w:rFonts w:ascii="Arial" w:hAnsi="Arial" w:hint="default"/>
      </w:rPr>
    </w:lvl>
    <w:lvl w:ilvl="7" w:tplc="8A02D5E0" w:tentative="1">
      <w:start w:val="1"/>
      <w:numFmt w:val="bullet"/>
      <w:lvlText w:val="•"/>
      <w:lvlJc w:val="start"/>
      <w:pPr>
        <w:tabs>
          <w:tab w:val="num" w:pos="288pt"/>
        </w:tabs>
        <w:ind w:start="288pt" w:hanging="18pt"/>
      </w:pPr>
      <w:rPr>
        <w:rFonts w:ascii="Arial" w:hAnsi="Arial" w:hint="default"/>
      </w:rPr>
    </w:lvl>
    <w:lvl w:ilvl="8" w:tplc="6FA6C678" w:tentative="1">
      <w:start w:val="1"/>
      <w:numFmt w:val="bullet"/>
      <w:lvlText w:val="•"/>
      <w:lvlJc w:val="start"/>
      <w:pPr>
        <w:tabs>
          <w:tab w:val="num" w:pos="324pt"/>
        </w:tabs>
        <w:ind w:start="324pt" w:hanging="18pt"/>
      </w:pPr>
      <w:rPr>
        <w:rFonts w:ascii="Arial" w:hAnsi="Arial" w:hint="default"/>
      </w:rPr>
    </w:lvl>
  </w:abstractNum>
  <w:abstractNum w:abstractNumId="39" w15:restartNumberingAfterBreak="0">
    <w:nsid w:val="6E6E31EA"/>
    <w:multiLevelType w:val="multilevel"/>
    <w:tmpl w:val="6E6E31EA"/>
    <w:lvl w:ilvl="0">
      <w:start w:val="1"/>
      <w:numFmt w:val="bullet"/>
      <w:lvlText w:val=""/>
      <w:lvlJc w:val="start"/>
      <w:pPr>
        <w:ind w:start="36pt" w:hanging="18pt"/>
      </w:pPr>
      <w:rPr>
        <w:rFonts w:ascii="Wingdings" w:hAnsi="Wingdings"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start"/>
      <w:pPr>
        <w:tabs>
          <w:tab w:val="num" w:pos="26.95pt"/>
        </w:tabs>
        <w:ind w:start="26.95pt" w:hanging="18pt"/>
      </w:pPr>
      <w:rPr>
        <w:rFonts w:ascii="Symbol" w:hAnsi="Symbol" w:hint="default"/>
        <w:b/>
        <w:i w:val="0"/>
        <w:color w:val="auto"/>
        <w:sz w:val="22"/>
      </w:rPr>
    </w:lvl>
    <w:lvl w:ilvl="1" w:tplc="04090003">
      <w:start w:val="1"/>
      <w:numFmt w:val="bullet"/>
      <w:lvlText w:val="o"/>
      <w:lvlJc w:val="start"/>
      <w:pPr>
        <w:tabs>
          <w:tab w:val="num" w:pos="18pt"/>
        </w:tabs>
        <w:ind w:start="18pt" w:hanging="18pt"/>
      </w:pPr>
      <w:rPr>
        <w:rFonts w:ascii="Courier New" w:hAnsi="Courier New" w:cs="Courier New" w:hint="default"/>
      </w:rPr>
    </w:lvl>
    <w:lvl w:ilvl="2" w:tplc="04090005">
      <w:start w:val="1"/>
      <w:numFmt w:val="bullet"/>
      <w:lvlText w:val=""/>
      <w:lvlJc w:val="start"/>
      <w:pPr>
        <w:tabs>
          <w:tab w:val="num" w:pos="54pt"/>
        </w:tabs>
        <w:ind w:start="54pt" w:hanging="18pt"/>
      </w:pPr>
      <w:rPr>
        <w:rFonts w:ascii="Wingdings" w:hAnsi="Wingdings" w:hint="default"/>
      </w:rPr>
    </w:lvl>
    <w:lvl w:ilvl="3" w:tplc="04090001">
      <w:start w:val="1"/>
      <w:numFmt w:val="bullet"/>
      <w:lvlText w:val=""/>
      <w:lvlJc w:val="start"/>
      <w:pPr>
        <w:tabs>
          <w:tab w:val="num" w:pos="90pt"/>
        </w:tabs>
        <w:ind w:start="90pt" w:hanging="18pt"/>
      </w:pPr>
      <w:rPr>
        <w:rFonts w:ascii="Symbol" w:hAnsi="Symbol" w:hint="default"/>
      </w:rPr>
    </w:lvl>
    <w:lvl w:ilvl="4" w:tplc="04090003">
      <w:start w:val="1"/>
      <w:numFmt w:val="bullet"/>
      <w:lvlText w:val="o"/>
      <w:lvlJc w:val="start"/>
      <w:pPr>
        <w:tabs>
          <w:tab w:val="num" w:pos="126pt"/>
        </w:tabs>
        <w:ind w:start="126pt" w:hanging="18pt"/>
      </w:pPr>
      <w:rPr>
        <w:rFonts w:ascii="Courier New" w:hAnsi="Courier New" w:cs="Courier New" w:hint="default"/>
      </w:rPr>
    </w:lvl>
    <w:lvl w:ilvl="5" w:tplc="04090005">
      <w:start w:val="1"/>
      <w:numFmt w:val="bullet"/>
      <w:lvlText w:val=""/>
      <w:lvlJc w:val="start"/>
      <w:pPr>
        <w:tabs>
          <w:tab w:val="num" w:pos="162pt"/>
        </w:tabs>
        <w:ind w:start="162pt" w:hanging="18pt"/>
      </w:pPr>
      <w:rPr>
        <w:rFonts w:ascii="Wingdings" w:hAnsi="Wingdings" w:hint="default"/>
      </w:rPr>
    </w:lvl>
    <w:lvl w:ilvl="6" w:tplc="04090001">
      <w:start w:val="1"/>
      <w:numFmt w:val="bullet"/>
      <w:lvlText w:val=""/>
      <w:lvlJc w:val="start"/>
      <w:pPr>
        <w:tabs>
          <w:tab w:val="num" w:pos="198pt"/>
        </w:tabs>
        <w:ind w:start="198pt" w:hanging="18pt"/>
      </w:pPr>
      <w:rPr>
        <w:rFonts w:ascii="Symbol" w:hAnsi="Symbol" w:hint="default"/>
      </w:rPr>
    </w:lvl>
    <w:lvl w:ilvl="7" w:tplc="04090003">
      <w:start w:val="1"/>
      <w:numFmt w:val="bullet"/>
      <w:lvlText w:val="o"/>
      <w:lvlJc w:val="start"/>
      <w:pPr>
        <w:tabs>
          <w:tab w:val="num" w:pos="234pt"/>
        </w:tabs>
        <w:ind w:start="234pt" w:hanging="18pt"/>
      </w:pPr>
      <w:rPr>
        <w:rFonts w:ascii="Courier New" w:hAnsi="Courier New" w:cs="Courier New" w:hint="default"/>
      </w:rPr>
    </w:lvl>
    <w:lvl w:ilvl="8" w:tplc="04090005">
      <w:start w:val="1"/>
      <w:numFmt w:val="bullet"/>
      <w:lvlText w:val=""/>
      <w:lvlJc w:val="start"/>
      <w:pPr>
        <w:tabs>
          <w:tab w:val="num" w:pos="270pt"/>
        </w:tabs>
        <w:ind w:start="270pt" w:hanging="18pt"/>
      </w:pPr>
      <w:rPr>
        <w:rFonts w:ascii="Wingdings" w:hAnsi="Wingdings" w:hint="default"/>
      </w:rPr>
    </w:lvl>
  </w:abstractNum>
  <w:abstractNum w:abstractNumId="41" w15:restartNumberingAfterBreak="0">
    <w:nsid w:val="779E3AC8"/>
    <w:multiLevelType w:val="hybridMultilevel"/>
    <w:tmpl w:val="8F320FF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2" w15:restartNumberingAfterBreak="0">
    <w:nsid w:val="78C8750F"/>
    <w:multiLevelType w:val="multilevel"/>
    <w:tmpl w:val="04090025"/>
    <w:lvl w:ilvl="0">
      <w:start w:val="1"/>
      <w:numFmt w:val="decimal"/>
      <w:pStyle w:val="Heading1"/>
      <w:lvlText w:val="%1"/>
      <w:lvlJc w:val="start"/>
      <w:pPr>
        <w:ind w:start="21.60pt" w:hanging="21.60pt"/>
      </w:pPr>
    </w:lvl>
    <w:lvl w:ilvl="1">
      <w:start w:val="1"/>
      <w:numFmt w:val="decimal"/>
      <w:pStyle w:val="Heading2"/>
      <w:lvlText w:val="%1.%2"/>
      <w:lvlJc w:val="start"/>
      <w:pPr>
        <w:ind w:start="73.80pt" w:hanging="28.80pt"/>
      </w:pPr>
    </w:lvl>
    <w:lvl w:ilvl="2">
      <w:start w:val="1"/>
      <w:numFmt w:val="decimal"/>
      <w:pStyle w:val="Heading3"/>
      <w:lvlText w:val="%1.%2.%3"/>
      <w:lvlJc w:val="start"/>
      <w:pPr>
        <w:ind w:start="36pt" w:hanging="36pt"/>
      </w:pPr>
    </w:lvl>
    <w:lvl w:ilvl="3">
      <w:start w:val="1"/>
      <w:numFmt w:val="decimal"/>
      <w:pStyle w:val="Heading4"/>
      <w:lvlText w:val="%1.%2.%3.%4"/>
      <w:lvlJc w:val="start"/>
      <w:pPr>
        <w:ind w:start="43.20pt" w:hanging="43.20pt"/>
      </w:pPr>
    </w:lvl>
    <w:lvl w:ilvl="4">
      <w:start w:val="1"/>
      <w:numFmt w:val="decimal"/>
      <w:pStyle w:val="Heading5"/>
      <w:lvlText w:val="%1.%2.%3.%4.%5"/>
      <w:lvlJc w:val="start"/>
      <w:pPr>
        <w:ind w:start="50.40pt" w:hanging="50.40pt"/>
      </w:pPr>
    </w:lvl>
    <w:lvl w:ilvl="5">
      <w:start w:val="1"/>
      <w:numFmt w:val="decimal"/>
      <w:pStyle w:val="Heading6"/>
      <w:lvlText w:val="%1.%2.%3.%4.%5.%6"/>
      <w:lvlJc w:val="start"/>
      <w:pPr>
        <w:ind w:start="57.60pt" w:hanging="57.60pt"/>
      </w:pPr>
    </w:lvl>
    <w:lvl w:ilvl="6">
      <w:start w:val="1"/>
      <w:numFmt w:val="decimal"/>
      <w:pStyle w:val="Heading7"/>
      <w:lvlText w:val="%1.%2.%3.%4.%5.%6.%7"/>
      <w:lvlJc w:val="start"/>
      <w:pPr>
        <w:ind w:start="64.80pt" w:hanging="64.80pt"/>
      </w:pPr>
    </w:lvl>
    <w:lvl w:ilvl="7">
      <w:start w:val="1"/>
      <w:numFmt w:val="decimal"/>
      <w:pStyle w:val="Heading8"/>
      <w:lvlText w:val="%1.%2.%3.%4.%5.%6.%7.%8"/>
      <w:lvlJc w:val="start"/>
      <w:pPr>
        <w:ind w:start="72pt" w:hanging="72pt"/>
      </w:pPr>
    </w:lvl>
    <w:lvl w:ilvl="8">
      <w:start w:val="1"/>
      <w:numFmt w:val="decimal"/>
      <w:pStyle w:val="Heading9"/>
      <w:lvlText w:val="%1.%2.%3.%4.%5.%6.%7.%8.%9"/>
      <w:lvlJc w:val="start"/>
      <w:pPr>
        <w:ind w:start="79.20pt" w:hanging="79.20pt"/>
      </w:pPr>
    </w:lvl>
  </w:abstractNum>
  <w:abstractNum w:abstractNumId="43" w15:restartNumberingAfterBreak="0">
    <w:nsid w:val="79352BF6"/>
    <w:multiLevelType w:val="hybridMultilevel"/>
    <w:tmpl w:val="56C8874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4" w15:restartNumberingAfterBreak="0">
    <w:nsid w:val="7A001490"/>
    <w:multiLevelType w:val="hybridMultilevel"/>
    <w:tmpl w:val="D38AD6A0"/>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Batang"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Batang"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Batang"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245042933">
    <w:abstractNumId w:val="45"/>
  </w:num>
  <w:num w:numId="2" w16cid:durableId="1972052199">
    <w:abstractNumId w:val="42"/>
  </w:num>
  <w:num w:numId="3" w16cid:durableId="1782458960">
    <w:abstractNumId w:val="19"/>
  </w:num>
  <w:num w:numId="4" w16cid:durableId="2000191327">
    <w:abstractNumId w:val="32"/>
  </w:num>
  <w:num w:numId="5" w16cid:durableId="789394430">
    <w:abstractNumId w:val="11"/>
  </w:num>
  <w:num w:numId="6" w16cid:durableId="1197816160">
    <w:abstractNumId w:val="13"/>
  </w:num>
  <w:num w:numId="7" w16cid:durableId="1196119384">
    <w:abstractNumId w:val="40"/>
  </w:num>
  <w:num w:numId="8" w16cid:durableId="1315521722">
    <w:abstractNumId w:val="18"/>
  </w:num>
  <w:num w:numId="9" w16cid:durableId="1757941633">
    <w:abstractNumId w:val="41"/>
  </w:num>
  <w:num w:numId="10" w16cid:durableId="1861039793">
    <w:abstractNumId w:val="17"/>
  </w:num>
  <w:num w:numId="11" w16cid:durableId="1573199430">
    <w:abstractNumId w:val="20"/>
  </w:num>
  <w:num w:numId="12" w16cid:durableId="404568987">
    <w:abstractNumId w:val="34"/>
  </w:num>
  <w:num w:numId="13" w16cid:durableId="2054763834">
    <w:abstractNumId w:val="3"/>
  </w:num>
  <w:num w:numId="14" w16cid:durableId="818765843">
    <w:abstractNumId w:val="22"/>
  </w:num>
  <w:num w:numId="15" w16cid:durableId="2108034329">
    <w:abstractNumId w:val="44"/>
  </w:num>
  <w:num w:numId="16" w16cid:durableId="485628644">
    <w:abstractNumId w:val="28"/>
  </w:num>
  <w:num w:numId="17" w16cid:durableId="1385442276">
    <w:abstractNumId w:val="26"/>
  </w:num>
  <w:num w:numId="18" w16cid:durableId="2050717894">
    <w:abstractNumId w:val="8"/>
  </w:num>
  <w:num w:numId="19" w16cid:durableId="70199586">
    <w:abstractNumId w:val="27"/>
  </w:num>
  <w:num w:numId="20" w16cid:durableId="1090613774">
    <w:abstractNumId w:val="6"/>
  </w:num>
  <w:num w:numId="21" w16cid:durableId="1380082788">
    <w:abstractNumId w:val="12"/>
  </w:num>
  <w:num w:numId="22" w16cid:durableId="169679535">
    <w:abstractNumId w:val="29"/>
  </w:num>
  <w:num w:numId="23" w16cid:durableId="1427724633">
    <w:abstractNumId w:val="1"/>
  </w:num>
  <w:num w:numId="24" w16cid:durableId="2027518904">
    <w:abstractNumId w:val="7"/>
  </w:num>
  <w:num w:numId="25" w16cid:durableId="88240902">
    <w:abstractNumId w:val="36"/>
  </w:num>
  <w:num w:numId="26" w16cid:durableId="80491075">
    <w:abstractNumId w:val="9"/>
  </w:num>
  <w:num w:numId="27" w16cid:durableId="1757288472">
    <w:abstractNumId w:val="15"/>
  </w:num>
  <w:num w:numId="28" w16cid:durableId="2019039210">
    <w:abstractNumId w:val="37"/>
  </w:num>
  <w:num w:numId="29" w16cid:durableId="845021210">
    <w:abstractNumId w:val="30"/>
  </w:num>
  <w:num w:numId="30" w16cid:durableId="228734096">
    <w:abstractNumId w:val="14"/>
  </w:num>
  <w:num w:numId="31" w16cid:durableId="1088119708">
    <w:abstractNumId w:val="2"/>
  </w:num>
  <w:num w:numId="32" w16cid:durableId="728530507">
    <w:abstractNumId w:val="21"/>
  </w:num>
  <w:num w:numId="33" w16cid:durableId="1776436937">
    <w:abstractNumId w:val="16"/>
  </w:num>
  <w:num w:numId="34" w16cid:durableId="1090808797">
    <w:abstractNumId w:val="38"/>
  </w:num>
  <w:num w:numId="35" w16cid:durableId="952592220">
    <w:abstractNumId w:val="43"/>
  </w:num>
  <w:num w:numId="36" w16cid:durableId="2019500452">
    <w:abstractNumId w:val="39"/>
  </w:num>
  <w:num w:numId="37" w16cid:durableId="933902472">
    <w:abstractNumId w:val="23"/>
  </w:num>
  <w:num w:numId="38" w16cid:durableId="1892571224">
    <w:abstractNumId w:val="0"/>
  </w:num>
  <w:num w:numId="39" w16cid:durableId="2073313767">
    <w:abstractNumId w:val="5"/>
  </w:num>
  <w:num w:numId="40" w16cid:durableId="1824195290">
    <w:abstractNumId w:val="31"/>
  </w:num>
  <w:num w:numId="41" w16cid:durableId="26301567">
    <w:abstractNumId w:val="24"/>
  </w:num>
  <w:num w:numId="42" w16cid:durableId="1112477037">
    <w:abstractNumId w:val="33"/>
  </w:num>
  <w:num w:numId="43" w16cid:durableId="1125197328">
    <w:abstractNumId w:val="4"/>
  </w:num>
  <w:num w:numId="44" w16cid:durableId="2139688114">
    <w:abstractNumId w:val="40"/>
  </w:num>
  <w:num w:numId="45" w16cid:durableId="10962869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23156244">
    <w:abstractNumId w:val="25"/>
  </w:num>
  <w:num w:numId="47" w16cid:durableId="1247957091">
    <w:abstractNumId w:val="10"/>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oNotTrackMoves/>
  <w:defaultTabStop w:val="64.90pt"/>
  <w:hyphenationZone w:val="17.85pt"/>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14DF"/>
    <w:rsid w:val="0000341B"/>
    <w:rsid w:val="000068F9"/>
    <w:rsid w:val="00010917"/>
    <w:rsid w:val="00010D76"/>
    <w:rsid w:val="00010F45"/>
    <w:rsid w:val="00011393"/>
    <w:rsid w:val="00012946"/>
    <w:rsid w:val="000163FC"/>
    <w:rsid w:val="00016491"/>
    <w:rsid w:val="00020F3C"/>
    <w:rsid w:val="00022953"/>
    <w:rsid w:val="00023106"/>
    <w:rsid w:val="00023B7D"/>
    <w:rsid w:val="00024081"/>
    <w:rsid w:val="00024753"/>
    <w:rsid w:val="00024B8D"/>
    <w:rsid w:val="00024BA4"/>
    <w:rsid w:val="00027E74"/>
    <w:rsid w:val="00030250"/>
    <w:rsid w:val="00031410"/>
    <w:rsid w:val="000346B7"/>
    <w:rsid w:val="00035357"/>
    <w:rsid w:val="00037DEE"/>
    <w:rsid w:val="000452AF"/>
    <w:rsid w:val="00046AC3"/>
    <w:rsid w:val="00050960"/>
    <w:rsid w:val="000515AA"/>
    <w:rsid w:val="000520EF"/>
    <w:rsid w:val="00052989"/>
    <w:rsid w:val="00053B16"/>
    <w:rsid w:val="00053B77"/>
    <w:rsid w:val="00056C34"/>
    <w:rsid w:val="00056EB0"/>
    <w:rsid w:val="0005702A"/>
    <w:rsid w:val="00057080"/>
    <w:rsid w:val="0005789B"/>
    <w:rsid w:val="000610EB"/>
    <w:rsid w:val="000646A6"/>
    <w:rsid w:val="0006566E"/>
    <w:rsid w:val="000659FC"/>
    <w:rsid w:val="00067869"/>
    <w:rsid w:val="000678B9"/>
    <w:rsid w:val="00073070"/>
    <w:rsid w:val="000736BD"/>
    <w:rsid w:val="00073FDF"/>
    <w:rsid w:val="0007617D"/>
    <w:rsid w:val="000762F9"/>
    <w:rsid w:val="00076DE5"/>
    <w:rsid w:val="0007720F"/>
    <w:rsid w:val="000777D7"/>
    <w:rsid w:val="00080137"/>
    <w:rsid w:val="000806ED"/>
    <w:rsid w:val="00080956"/>
    <w:rsid w:val="00083DE0"/>
    <w:rsid w:val="000861DC"/>
    <w:rsid w:val="00086940"/>
    <w:rsid w:val="00086AB3"/>
    <w:rsid w:val="00087C0C"/>
    <w:rsid w:val="00087E82"/>
    <w:rsid w:val="00091411"/>
    <w:rsid w:val="00091B29"/>
    <w:rsid w:val="00094795"/>
    <w:rsid w:val="00095A61"/>
    <w:rsid w:val="00095DC0"/>
    <w:rsid w:val="000A0716"/>
    <w:rsid w:val="000A1647"/>
    <w:rsid w:val="000A3B19"/>
    <w:rsid w:val="000A4674"/>
    <w:rsid w:val="000A693B"/>
    <w:rsid w:val="000A7FA5"/>
    <w:rsid w:val="000B073E"/>
    <w:rsid w:val="000B0C75"/>
    <w:rsid w:val="000B1ACF"/>
    <w:rsid w:val="000B1E83"/>
    <w:rsid w:val="000B5447"/>
    <w:rsid w:val="000B57A4"/>
    <w:rsid w:val="000C2346"/>
    <w:rsid w:val="000C296A"/>
    <w:rsid w:val="000C3E4B"/>
    <w:rsid w:val="000C50B2"/>
    <w:rsid w:val="000C6060"/>
    <w:rsid w:val="000C654B"/>
    <w:rsid w:val="000C6959"/>
    <w:rsid w:val="000D2242"/>
    <w:rsid w:val="000D2514"/>
    <w:rsid w:val="000D5977"/>
    <w:rsid w:val="000D5F55"/>
    <w:rsid w:val="000D62CF"/>
    <w:rsid w:val="000D772F"/>
    <w:rsid w:val="000E0A6B"/>
    <w:rsid w:val="000E1075"/>
    <w:rsid w:val="000E2254"/>
    <w:rsid w:val="000E2CA4"/>
    <w:rsid w:val="000E37C3"/>
    <w:rsid w:val="000E3C8B"/>
    <w:rsid w:val="000E6AD2"/>
    <w:rsid w:val="000E6BC0"/>
    <w:rsid w:val="000E75E6"/>
    <w:rsid w:val="000F064E"/>
    <w:rsid w:val="000F0B52"/>
    <w:rsid w:val="000F24A4"/>
    <w:rsid w:val="000F44B8"/>
    <w:rsid w:val="000F7174"/>
    <w:rsid w:val="000F7FA6"/>
    <w:rsid w:val="001009DA"/>
    <w:rsid w:val="00100D2A"/>
    <w:rsid w:val="0010120D"/>
    <w:rsid w:val="00101F24"/>
    <w:rsid w:val="00102020"/>
    <w:rsid w:val="00103145"/>
    <w:rsid w:val="00106D9E"/>
    <w:rsid w:val="00110733"/>
    <w:rsid w:val="00112588"/>
    <w:rsid w:val="00113356"/>
    <w:rsid w:val="00113A25"/>
    <w:rsid w:val="001150F6"/>
    <w:rsid w:val="00116737"/>
    <w:rsid w:val="00117D41"/>
    <w:rsid w:val="00120A01"/>
    <w:rsid w:val="00120DED"/>
    <w:rsid w:val="00120E37"/>
    <w:rsid w:val="001210D8"/>
    <w:rsid w:val="00124ED7"/>
    <w:rsid w:val="00125164"/>
    <w:rsid w:val="0012645F"/>
    <w:rsid w:val="0013098D"/>
    <w:rsid w:val="001309B4"/>
    <w:rsid w:val="00132C80"/>
    <w:rsid w:val="00133E27"/>
    <w:rsid w:val="00134715"/>
    <w:rsid w:val="0013733E"/>
    <w:rsid w:val="0014089B"/>
    <w:rsid w:val="00140CEC"/>
    <w:rsid w:val="00141A33"/>
    <w:rsid w:val="00142104"/>
    <w:rsid w:val="0014472B"/>
    <w:rsid w:val="00145B9D"/>
    <w:rsid w:val="001470E8"/>
    <w:rsid w:val="00147E9A"/>
    <w:rsid w:val="00150292"/>
    <w:rsid w:val="00152738"/>
    <w:rsid w:val="0015291C"/>
    <w:rsid w:val="00152ADD"/>
    <w:rsid w:val="00152D52"/>
    <w:rsid w:val="001551D9"/>
    <w:rsid w:val="00155906"/>
    <w:rsid w:val="00156591"/>
    <w:rsid w:val="00156BDB"/>
    <w:rsid w:val="001570F6"/>
    <w:rsid w:val="00157563"/>
    <w:rsid w:val="00157DF3"/>
    <w:rsid w:val="00165A90"/>
    <w:rsid w:val="001671FE"/>
    <w:rsid w:val="00171E10"/>
    <w:rsid w:val="0017201A"/>
    <w:rsid w:val="001739E1"/>
    <w:rsid w:val="00174FA9"/>
    <w:rsid w:val="00175686"/>
    <w:rsid w:val="00176D50"/>
    <w:rsid w:val="0017726E"/>
    <w:rsid w:val="00180B8D"/>
    <w:rsid w:val="00183D6D"/>
    <w:rsid w:val="001842F4"/>
    <w:rsid w:val="00186C20"/>
    <w:rsid w:val="001872A5"/>
    <w:rsid w:val="00192372"/>
    <w:rsid w:val="001925DA"/>
    <w:rsid w:val="00193777"/>
    <w:rsid w:val="00194350"/>
    <w:rsid w:val="00195336"/>
    <w:rsid w:val="0019665F"/>
    <w:rsid w:val="00197278"/>
    <w:rsid w:val="001A029F"/>
    <w:rsid w:val="001A0B2E"/>
    <w:rsid w:val="001A0FA0"/>
    <w:rsid w:val="001A19FC"/>
    <w:rsid w:val="001A28B1"/>
    <w:rsid w:val="001A2C87"/>
    <w:rsid w:val="001A47B6"/>
    <w:rsid w:val="001A4F6F"/>
    <w:rsid w:val="001B16D5"/>
    <w:rsid w:val="001B3667"/>
    <w:rsid w:val="001B36C2"/>
    <w:rsid w:val="001B3705"/>
    <w:rsid w:val="001B46C7"/>
    <w:rsid w:val="001B5A36"/>
    <w:rsid w:val="001B735E"/>
    <w:rsid w:val="001B7780"/>
    <w:rsid w:val="001C28D1"/>
    <w:rsid w:val="001C2CE8"/>
    <w:rsid w:val="001C2EC5"/>
    <w:rsid w:val="001C37B6"/>
    <w:rsid w:val="001C37C6"/>
    <w:rsid w:val="001C4590"/>
    <w:rsid w:val="001C508F"/>
    <w:rsid w:val="001C539B"/>
    <w:rsid w:val="001C54B0"/>
    <w:rsid w:val="001C6089"/>
    <w:rsid w:val="001C6AEB"/>
    <w:rsid w:val="001C6BE1"/>
    <w:rsid w:val="001D066F"/>
    <w:rsid w:val="001D1E21"/>
    <w:rsid w:val="001D420F"/>
    <w:rsid w:val="001D472D"/>
    <w:rsid w:val="001D56D0"/>
    <w:rsid w:val="001E0010"/>
    <w:rsid w:val="001E17B4"/>
    <w:rsid w:val="001E391B"/>
    <w:rsid w:val="001E7647"/>
    <w:rsid w:val="001E7C4D"/>
    <w:rsid w:val="001F0B93"/>
    <w:rsid w:val="001F4146"/>
    <w:rsid w:val="001F546F"/>
    <w:rsid w:val="001F58BB"/>
    <w:rsid w:val="00202EF1"/>
    <w:rsid w:val="00203FF3"/>
    <w:rsid w:val="00204D5E"/>
    <w:rsid w:val="00205E15"/>
    <w:rsid w:val="00206446"/>
    <w:rsid w:val="002073AE"/>
    <w:rsid w:val="00207E3C"/>
    <w:rsid w:val="00207FCB"/>
    <w:rsid w:val="0021318D"/>
    <w:rsid w:val="002132D6"/>
    <w:rsid w:val="0021394D"/>
    <w:rsid w:val="00216275"/>
    <w:rsid w:val="00216CDA"/>
    <w:rsid w:val="0021768C"/>
    <w:rsid w:val="00223FA8"/>
    <w:rsid w:val="00225026"/>
    <w:rsid w:val="0022553B"/>
    <w:rsid w:val="002258D5"/>
    <w:rsid w:val="00225BD6"/>
    <w:rsid w:val="002332E4"/>
    <w:rsid w:val="00233CB1"/>
    <w:rsid w:val="0023537E"/>
    <w:rsid w:val="00235FB6"/>
    <w:rsid w:val="0023631A"/>
    <w:rsid w:val="002363FB"/>
    <w:rsid w:val="0023761F"/>
    <w:rsid w:val="00240D3D"/>
    <w:rsid w:val="002420D2"/>
    <w:rsid w:val="00242D18"/>
    <w:rsid w:val="00242F78"/>
    <w:rsid w:val="002432FC"/>
    <w:rsid w:val="00244DFF"/>
    <w:rsid w:val="00245CE7"/>
    <w:rsid w:val="00247AEC"/>
    <w:rsid w:val="002503FB"/>
    <w:rsid w:val="00250B18"/>
    <w:rsid w:val="00250B57"/>
    <w:rsid w:val="002524A8"/>
    <w:rsid w:val="00252518"/>
    <w:rsid w:val="00262D17"/>
    <w:rsid w:val="00263504"/>
    <w:rsid w:val="002641BF"/>
    <w:rsid w:val="002646E1"/>
    <w:rsid w:val="00266642"/>
    <w:rsid w:val="002668E6"/>
    <w:rsid w:val="00267A1F"/>
    <w:rsid w:val="00267AD3"/>
    <w:rsid w:val="00272FFE"/>
    <w:rsid w:val="0027408B"/>
    <w:rsid w:val="0027579D"/>
    <w:rsid w:val="00277D18"/>
    <w:rsid w:val="002863E7"/>
    <w:rsid w:val="00286C65"/>
    <w:rsid w:val="00290195"/>
    <w:rsid w:val="0029597A"/>
    <w:rsid w:val="00296EEF"/>
    <w:rsid w:val="002A08E8"/>
    <w:rsid w:val="002A15AA"/>
    <w:rsid w:val="002A2D80"/>
    <w:rsid w:val="002A6022"/>
    <w:rsid w:val="002A6291"/>
    <w:rsid w:val="002A7FA0"/>
    <w:rsid w:val="002B121A"/>
    <w:rsid w:val="002B2291"/>
    <w:rsid w:val="002B3917"/>
    <w:rsid w:val="002B406F"/>
    <w:rsid w:val="002B429B"/>
    <w:rsid w:val="002B4B28"/>
    <w:rsid w:val="002B56FF"/>
    <w:rsid w:val="002B58C9"/>
    <w:rsid w:val="002B5C33"/>
    <w:rsid w:val="002B64D5"/>
    <w:rsid w:val="002B75EE"/>
    <w:rsid w:val="002C1E4D"/>
    <w:rsid w:val="002C31E4"/>
    <w:rsid w:val="002C4B4A"/>
    <w:rsid w:val="002C4E2D"/>
    <w:rsid w:val="002C50B9"/>
    <w:rsid w:val="002C570F"/>
    <w:rsid w:val="002C76D5"/>
    <w:rsid w:val="002D00E4"/>
    <w:rsid w:val="002D2B92"/>
    <w:rsid w:val="002D2C4B"/>
    <w:rsid w:val="002D38AB"/>
    <w:rsid w:val="002D4466"/>
    <w:rsid w:val="002D4766"/>
    <w:rsid w:val="002D5D1A"/>
    <w:rsid w:val="002D6F60"/>
    <w:rsid w:val="002D7F3E"/>
    <w:rsid w:val="002E02CB"/>
    <w:rsid w:val="002E02E9"/>
    <w:rsid w:val="002E0CEC"/>
    <w:rsid w:val="002E15B9"/>
    <w:rsid w:val="002E25EE"/>
    <w:rsid w:val="002E2F84"/>
    <w:rsid w:val="002E3F70"/>
    <w:rsid w:val="002E532F"/>
    <w:rsid w:val="002F079B"/>
    <w:rsid w:val="002F08B7"/>
    <w:rsid w:val="002F28C8"/>
    <w:rsid w:val="002F475D"/>
    <w:rsid w:val="002F55FC"/>
    <w:rsid w:val="002F5A37"/>
    <w:rsid w:val="002F6B38"/>
    <w:rsid w:val="002F6BD6"/>
    <w:rsid w:val="002F719D"/>
    <w:rsid w:val="002F78BA"/>
    <w:rsid w:val="0030249D"/>
    <w:rsid w:val="0030460F"/>
    <w:rsid w:val="0030664C"/>
    <w:rsid w:val="0031068C"/>
    <w:rsid w:val="00310C00"/>
    <w:rsid w:val="0031213F"/>
    <w:rsid w:val="00312634"/>
    <w:rsid w:val="003128DB"/>
    <w:rsid w:val="00312F4D"/>
    <w:rsid w:val="00313D86"/>
    <w:rsid w:val="00314556"/>
    <w:rsid w:val="00314AB8"/>
    <w:rsid w:val="00317611"/>
    <w:rsid w:val="0032352F"/>
    <w:rsid w:val="0033013E"/>
    <w:rsid w:val="00330D8B"/>
    <w:rsid w:val="00330F93"/>
    <w:rsid w:val="003317E0"/>
    <w:rsid w:val="003336F1"/>
    <w:rsid w:val="00334D57"/>
    <w:rsid w:val="00336111"/>
    <w:rsid w:val="003363B9"/>
    <w:rsid w:val="00344B4E"/>
    <w:rsid w:val="003451AA"/>
    <w:rsid w:val="00347DFF"/>
    <w:rsid w:val="00351CAE"/>
    <w:rsid w:val="00351E31"/>
    <w:rsid w:val="00353C45"/>
    <w:rsid w:val="00353DF2"/>
    <w:rsid w:val="003553A3"/>
    <w:rsid w:val="0035554B"/>
    <w:rsid w:val="00356349"/>
    <w:rsid w:val="00356D8A"/>
    <w:rsid w:val="00357E21"/>
    <w:rsid w:val="00360845"/>
    <w:rsid w:val="00361516"/>
    <w:rsid w:val="00361B2F"/>
    <w:rsid w:val="00361EA1"/>
    <w:rsid w:val="0036213B"/>
    <w:rsid w:val="003621A4"/>
    <w:rsid w:val="00362629"/>
    <w:rsid w:val="00363032"/>
    <w:rsid w:val="00364AC2"/>
    <w:rsid w:val="003652B8"/>
    <w:rsid w:val="003668C3"/>
    <w:rsid w:val="0037005F"/>
    <w:rsid w:val="00371977"/>
    <w:rsid w:val="00371DDD"/>
    <w:rsid w:val="00371FD7"/>
    <w:rsid w:val="00372763"/>
    <w:rsid w:val="003728FD"/>
    <w:rsid w:val="00372AEC"/>
    <w:rsid w:val="00373086"/>
    <w:rsid w:val="00373D34"/>
    <w:rsid w:val="003802A4"/>
    <w:rsid w:val="003806D0"/>
    <w:rsid w:val="003830DB"/>
    <w:rsid w:val="00383F56"/>
    <w:rsid w:val="003856FF"/>
    <w:rsid w:val="00385D49"/>
    <w:rsid w:val="00386764"/>
    <w:rsid w:val="00387193"/>
    <w:rsid w:val="003872A7"/>
    <w:rsid w:val="00391119"/>
    <w:rsid w:val="00391FA9"/>
    <w:rsid w:val="003930B9"/>
    <w:rsid w:val="00394649"/>
    <w:rsid w:val="00397DC8"/>
    <w:rsid w:val="003A2F64"/>
    <w:rsid w:val="003A4C7E"/>
    <w:rsid w:val="003B2C12"/>
    <w:rsid w:val="003B2F0C"/>
    <w:rsid w:val="003B461E"/>
    <w:rsid w:val="003B7A52"/>
    <w:rsid w:val="003C150E"/>
    <w:rsid w:val="003C30CB"/>
    <w:rsid w:val="003C513A"/>
    <w:rsid w:val="003C5C54"/>
    <w:rsid w:val="003C7D42"/>
    <w:rsid w:val="003C7D65"/>
    <w:rsid w:val="003D03B0"/>
    <w:rsid w:val="003D03B8"/>
    <w:rsid w:val="003D29A8"/>
    <w:rsid w:val="003D2C63"/>
    <w:rsid w:val="003D5443"/>
    <w:rsid w:val="003D6246"/>
    <w:rsid w:val="003D6FF4"/>
    <w:rsid w:val="003E1D9B"/>
    <w:rsid w:val="003E2BF5"/>
    <w:rsid w:val="003E4655"/>
    <w:rsid w:val="003E4F96"/>
    <w:rsid w:val="003E56B2"/>
    <w:rsid w:val="003E5DD9"/>
    <w:rsid w:val="003E6B0E"/>
    <w:rsid w:val="003E787C"/>
    <w:rsid w:val="003E78E0"/>
    <w:rsid w:val="003F12AF"/>
    <w:rsid w:val="003F2880"/>
    <w:rsid w:val="003F4E16"/>
    <w:rsid w:val="003F6E81"/>
    <w:rsid w:val="00400157"/>
    <w:rsid w:val="00400380"/>
    <w:rsid w:val="00400B55"/>
    <w:rsid w:val="00401F8B"/>
    <w:rsid w:val="0040298F"/>
    <w:rsid w:val="00403824"/>
    <w:rsid w:val="00403FA1"/>
    <w:rsid w:val="00404828"/>
    <w:rsid w:val="00405DFD"/>
    <w:rsid w:val="00405EBE"/>
    <w:rsid w:val="00406853"/>
    <w:rsid w:val="0040721A"/>
    <w:rsid w:val="00410BE0"/>
    <w:rsid w:val="00411013"/>
    <w:rsid w:val="00413485"/>
    <w:rsid w:val="0041355A"/>
    <w:rsid w:val="00413F5A"/>
    <w:rsid w:val="00420062"/>
    <w:rsid w:val="00420F02"/>
    <w:rsid w:val="0042646F"/>
    <w:rsid w:val="00426A19"/>
    <w:rsid w:val="00427358"/>
    <w:rsid w:val="004303AF"/>
    <w:rsid w:val="004342AD"/>
    <w:rsid w:val="00441771"/>
    <w:rsid w:val="0044390D"/>
    <w:rsid w:val="0044404A"/>
    <w:rsid w:val="004448F0"/>
    <w:rsid w:val="00445626"/>
    <w:rsid w:val="00445819"/>
    <w:rsid w:val="00450C13"/>
    <w:rsid w:val="00453545"/>
    <w:rsid w:val="00456919"/>
    <w:rsid w:val="00461DAF"/>
    <w:rsid w:val="0046236D"/>
    <w:rsid w:val="004632A4"/>
    <w:rsid w:val="004651D6"/>
    <w:rsid w:val="00466CF8"/>
    <w:rsid w:val="0047030F"/>
    <w:rsid w:val="00473049"/>
    <w:rsid w:val="004746B3"/>
    <w:rsid w:val="0048029A"/>
    <w:rsid w:val="0048125C"/>
    <w:rsid w:val="00483B38"/>
    <w:rsid w:val="00483B91"/>
    <w:rsid w:val="00484B39"/>
    <w:rsid w:val="00484F70"/>
    <w:rsid w:val="00485EBC"/>
    <w:rsid w:val="00486708"/>
    <w:rsid w:val="00487CC2"/>
    <w:rsid w:val="00491D9B"/>
    <w:rsid w:val="00493FA4"/>
    <w:rsid w:val="00494740"/>
    <w:rsid w:val="0049501C"/>
    <w:rsid w:val="00495A80"/>
    <w:rsid w:val="004A10E3"/>
    <w:rsid w:val="004A2845"/>
    <w:rsid w:val="004A43E5"/>
    <w:rsid w:val="004A4BD3"/>
    <w:rsid w:val="004A5038"/>
    <w:rsid w:val="004A62B4"/>
    <w:rsid w:val="004A6A9A"/>
    <w:rsid w:val="004A75B8"/>
    <w:rsid w:val="004B0F70"/>
    <w:rsid w:val="004B2F0D"/>
    <w:rsid w:val="004B3D91"/>
    <w:rsid w:val="004C2D30"/>
    <w:rsid w:val="004C48B6"/>
    <w:rsid w:val="004C67D0"/>
    <w:rsid w:val="004C69EA"/>
    <w:rsid w:val="004C770F"/>
    <w:rsid w:val="004C7D5A"/>
    <w:rsid w:val="004D02D2"/>
    <w:rsid w:val="004D0C89"/>
    <w:rsid w:val="004D15C5"/>
    <w:rsid w:val="004D232B"/>
    <w:rsid w:val="004D6491"/>
    <w:rsid w:val="004D7C7D"/>
    <w:rsid w:val="004E1F34"/>
    <w:rsid w:val="004E40E2"/>
    <w:rsid w:val="004E5F65"/>
    <w:rsid w:val="004E6461"/>
    <w:rsid w:val="004E7D49"/>
    <w:rsid w:val="004F5FF0"/>
    <w:rsid w:val="004F70C3"/>
    <w:rsid w:val="004F785F"/>
    <w:rsid w:val="00501732"/>
    <w:rsid w:val="00502692"/>
    <w:rsid w:val="0050326C"/>
    <w:rsid w:val="00503789"/>
    <w:rsid w:val="00504EA0"/>
    <w:rsid w:val="0050667C"/>
    <w:rsid w:val="00511288"/>
    <w:rsid w:val="0051128C"/>
    <w:rsid w:val="00513498"/>
    <w:rsid w:val="00513545"/>
    <w:rsid w:val="005142E0"/>
    <w:rsid w:val="0051714A"/>
    <w:rsid w:val="005171F5"/>
    <w:rsid w:val="005178FA"/>
    <w:rsid w:val="00521F2F"/>
    <w:rsid w:val="005226CF"/>
    <w:rsid w:val="00523739"/>
    <w:rsid w:val="00524796"/>
    <w:rsid w:val="00525288"/>
    <w:rsid w:val="005272D6"/>
    <w:rsid w:val="00527C92"/>
    <w:rsid w:val="005311C2"/>
    <w:rsid w:val="0053125C"/>
    <w:rsid w:val="0053165E"/>
    <w:rsid w:val="00531B88"/>
    <w:rsid w:val="0053274E"/>
    <w:rsid w:val="00543584"/>
    <w:rsid w:val="00543ADC"/>
    <w:rsid w:val="00543BFF"/>
    <w:rsid w:val="005448A2"/>
    <w:rsid w:val="00545EFD"/>
    <w:rsid w:val="00546D19"/>
    <w:rsid w:val="005472E6"/>
    <w:rsid w:val="00547CFE"/>
    <w:rsid w:val="0055010F"/>
    <w:rsid w:val="0055039C"/>
    <w:rsid w:val="00550423"/>
    <w:rsid w:val="00550C4E"/>
    <w:rsid w:val="00551160"/>
    <w:rsid w:val="0055179B"/>
    <w:rsid w:val="00551D57"/>
    <w:rsid w:val="00554D54"/>
    <w:rsid w:val="00556905"/>
    <w:rsid w:val="00561DDD"/>
    <w:rsid w:val="0057128C"/>
    <w:rsid w:val="005718E2"/>
    <w:rsid w:val="00572A89"/>
    <w:rsid w:val="005738CA"/>
    <w:rsid w:val="00574555"/>
    <w:rsid w:val="00575D22"/>
    <w:rsid w:val="00575D7A"/>
    <w:rsid w:val="00575D97"/>
    <w:rsid w:val="005763D3"/>
    <w:rsid w:val="00576CA9"/>
    <w:rsid w:val="00577552"/>
    <w:rsid w:val="00577BAD"/>
    <w:rsid w:val="00585033"/>
    <w:rsid w:val="005877C3"/>
    <w:rsid w:val="0059076E"/>
    <w:rsid w:val="00590EDE"/>
    <w:rsid w:val="00592891"/>
    <w:rsid w:val="00592FAA"/>
    <w:rsid w:val="005963EE"/>
    <w:rsid w:val="00596499"/>
    <w:rsid w:val="00596F65"/>
    <w:rsid w:val="005A02DC"/>
    <w:rsid w:val="005A0CBA"/>
    <w:rsid w:val="005A5552"/>
    <w:rsid w:val="005A6884"/>
    <w:rsid w:val="005A6BDF"/>
    <w:rsid w:val="005A6FA8"/>
    <w:rsid w:val="005A76C7"/>
    <w:rsid w:val="005B2812"/>
    <w:rsid w:val="005B3027"/>
    <w:rsid w:val="005B3CE4"/>
    <w:rsid w:val="005B402F"/>
    <w:rsid w:val="005C24A4"/>
    <w:rsid w:val="005C3147"/>
    <w:rsid w:val="005C31C9"/>
    <w:rsid w:val="005C3FD4"/>
    <w:rsid w:val="005C4BA8"/>
    <w:rsid w:val="005C4CB8"/>
    <w:rsid w:val="005C58FC"/>
    <w:rsid w:val="005D105B"/>
    <w:rsid w:val="005D1679"/>
    <w:rsid w:val="005D1ACB"/>
    <w:rsid w:val="005D1F74"/>
    <w:rsid w:val="005D392D"/>
    <w:rsid w:val="005D3D74"/>
    <w:rsid w:val="005D482B"/>
    <w:rsid w:val="005D4DED"/>
    <w:rsid w:val="005D611B"/>
    <w:rsid w:val="005D618D"/>
    <w:rsid w:val="005E01CD"/>
    <w:rsid w:val="005E0C9E"/>
    <w:rsid w:val="005E2968"/>
    <w:rsid w:val="005E32FC"/>
    <w:rsid w:val="005E522B"/>
    <w:rsid w:val="005E522E"/>
    <w:rsid w:val="005E6D4B"/>
    <w:rsid w:val="005F068D"/>
    <w:rsid w:val="005F0A30"/>
    <w:rsid w:val="005F110A"/>
    <w:rsid w:val="005F3860"/>
    <w:rsid w:val="005F3A67"/>
    <w:rsid w:val="005F4D47"/>
    <w:rsid w:val="005F69A1"/>
    <w:rsid w:val="005F6C2C"/>
    <w:rsid w:val="006002E4"/>
    <w:rsid w:val="006012AE"/>
    <w:rsid w:val="00601ED6"/>
    <w:rsid w:val="00602BA5"/>
    <w:rsid w:val="00606E04"/>
    <w:rsid w:val="006077AD"/>
    <w:rsid w:val="0061052D"/>
    <w:rsid w:val="00611425"/>
    <w:rsid w:val="00613362"/>
    <w:rsid w:val="00616835"/>
    <w:rsid w:val="00616935"/>
    <w:rsid w:val="00616CBB"/>
    <w:rsid w:val="00622C09"/>
    <w:rsid w:val="006233FC"/>
    <w:rsid w:val="00623A4E"/>
    <w:rsid w:val="00623EB3"/>
    <w:rsid w:val="006247C1"/>
    <w:rsid w:val="00627A07"/>
    <w:rsid w:val="006303D8"/>
    <w:rsid w:val="00630544"/>
    <w:rsid w:val="0063098F"/>
    <w:rsid w:val="00631432"/>
    <w:rsid w:val="00636CEF"/>
    <w:rsid w:val="00641816"/>
    <w:rsid w:val="00641859"/>
    <w:rsid w:val="00642168"/>
    <w:rsid w:val="00643296"/>
    <w:rsid w:val="00645BAD"/>
    <w:rsid w:val="006461BA"/>
    <w:rsid w:val="00646259"/>
    <w:rsid w:val="006462A0"/>
    <w:rsid w:val="00650302"/>
    <w:rsid w:val="0065196E"/>
    <w:rsid w:val="0065371F"/>
    <w:rsid w:val="00655058"/>
    <w:rsid w:val="006550C3"/>
    <w:rsid w:val="0065553E"/>
    <w:rsid w:val="00656016"/>
    <w:rsid w:val="0065718E"/>
    <w:rsid w:val="00657BE2"/>
    <w:rsid w:val="006600B5"/>
    <w:rsid w:val="00660FDE"/>
    <w:rsid w:val="00663543"/>
    <w:rsid w:val="00664B36"/>
    <w:rsid w:val="00664C1F"/>
    <w:rsid w:val="00665018"/>
    <w:rsid w:val="00665C72"/>
    <w:rsid w:val="00667B4D"/>
    <w:rsid w:val="00670164"/>
    <w:rsid w:val="00670B93"/>
    <w:rsid w:val="00671445"/>
    <w:rsid w:val="0067152D"/>
    <w:rsid w:val="00674006"/>
    <w:rsid w:val="006744D4"/>
    <w:rsid w:val="00674D4F"/>
    <w:rsid w:val="00675392"/>
    <w:rsid w:val="0067665D"/>
    <w:rsid w:val="00680164"/>
    <w:rsid w:val="006804BF"/>
    <w:rsid w:val="00680645"/>
    <w:rsid w:val="00680B4E"/>
    <w:rsid w:val="00681BE8"/>
    <w:rsid w:val="00683CD1"/>
    <w:rsid w:val="006857F5"/>
    <w:rsid w:val="00687FF9"/>
    <w:rsid w:val="0069159B"/>
    <w:rsid w:val="00691D77"/>
    <w:rsid w:val="00692F45"/>
    <w:rsid w:val="006930FF"/>
    <w:rsid w:val="0069392F"/>
    <w:rsid w:val="00693C55"/>
    <w:rsid w:val="006944DE"/>
    <w:rsid w:val="00694D3E"/>
    <w:rsid w:val="00695138"/>
    <w:rsid w:val="00695480"/>
    <w:rsid w:val="006959A2"/>
    <w:rsid w:val="006972F3"/>
    <w:rsid w:val="006A412D"/>
    <w:rsid w:val="006A49A1"/>
    <w:rsid w:val="006A5F8B"/>
    <w:rsid w:val="006A68EF"/>
    <w:rsid w:val="006B0E03"/>
    <w:rsid w:val="006B1065"/>
    <w:rsid w:val="006B10A4"/>
    <w:rsid w:val="006B3357"/>
    <w:rsid w:val="006B3374"/>
    <w:rsid w:val="006B594A"/>
    <w:rsid w:val="006B61C8"/>
    <w:rsid w:val="006B635F"/>
    <w:rsid w:val="006B6E13"/>
    <w:rsid w:val="006C3F8C"/>
    <w:rsid w:val="006C6536"/>
    <w:rsid w:val="006C734F"/>
    <w:rsid w:val="006D2D38"/>
    <w:rsid w:val="006D3016"/>
    <w:rsid w:val="006D455E"/>
    <w:rsid w:val="006D51BA"/>
    <w:rsid w:val="006E1F9E"/>
    <w:rsid w:val="006E3235"/>
    <w:rsid w:val="006E33C5"/>
    <w:rsid w:val="006E4E1C"/>
    <w:rsid w:val="006E5655"/>
    <w:rsid w:val="006E6FEB"/>
    <w:rsid w:val="006E7493"/>
    <w:rsid w:val="006F107E"/>
    <w:rsid w:val="006F15BE"/>
    <w:rsid w:val="006F22B7"/>
    <w:rsid w:val="006F2EB9"/>
    <w:rsid w:val="006F3372"/>
    <w:rsid w:val="006F3A78"/>
    <w:rsid w:val="006F4AF4"/>
    <w:rsid w:val="006F58A3"/>
    <w:rsid w:val="006F78C9"/>
    <w:rsid w:val="00702DE1"/>
    <w:rsid w:val="007030DB"/>
    <w:rsid w:val="007073E6"/>
    <w:rsid w:val="00710245"/>
    <w:rsid w:val="007129E3"/>
    <w:rsid w:val="00712E89"/>
    <w:rsid w:val="00713E62"/>
    <w:rsid w:val="007163A3"/>
    <w:rsid w:val="00716450"/>
    <w:rsid w:val="00716A50"/>
    <w:rsid w:val="00725B01"/>
    <w:rsid w:val="007264F8"/>
    <w:rsid w:val="00726A49"/>
    <w:rsid w:val="00727A62"/>
    <w:rsid w:val="00727A99"/>
    <w:rsid w:val="00731C0D"/>
    <w:rsid w:val="00732D34"/>
    <w:rsid w:val="00732EF0"/>
    <w:rsid w:val="00732F47"/>
    <w:rsid w:val="00733291"/>
    <w:rsid w:val="007332EC"/>
    <w:rsid w:val="00733627"/>
    <w:rsid w:val="00733666"/>
    <w:rsid w:val="00733ADA"/>
    <w:rsid w:val="007341B1"/>
    <w:rsid w:val="00734E92"/>
    <w:rsid w:val="00735A3C"/>
    <w:rsid w:val="0073649B"/>
    <w:rsid w:val="00737324"/>
    <w:rsid w:val="007375E9"/>
    <w:rsid w:val="00741083"/>
    <w:rsid w:val="007427ED"/>
    <w:rsid w:val="0074357A"/>
    <w:rsid w:val="00743D5B"/>
    <w:rsid w:val="00751DB9"/>
    <w:rsid w:val="0075278C"/>
    <w:rsid w:val="00755373"/>
    <w:rsid w:val="00757638"/>
    <w:rsid w:val="0076168F"/>
    <w:rsid w:val="00762A6C"/>
    <w:rsid w:val="00763A54"/>
    <w:rsid w:val="00764048"/>
    <w:rsid w:val="007656EB"/>
    <w:rsid w:val="00766747"/>
    <w:rsid w:val="00770061"/>
    <w:rsid w:val="007707D8"/>
    <w:rsid w:val="007709AE"/>
    <w:rsid w:val="00771BF9"/>
    <w:rsid w:val="00772699"/>
    <w:rsid w:val="00782220"/>
    <w:rsid w:val="0079084A"/>
    <w:rsid w:val="00790878"/>
    <w:rsid w:val="0079172B"/>
    <w:rsid w:val="00792023"/>
    <w:rsid w:val="00793FB5"/>
    <w:rsid w:val="0079423E"/>
    <w:rsid w:val="007945AC"/>
    <w:rsid w:val="0079627C"/>
    <w:rsid w:val="0079713C"/>
    <w:rsid w:val="00797F43"/>
    <w:rsid w:val="007A03CA"/>
    <w:rsid w:val="007B1BB9"/>
    <w:rsid w:val="007B2A26"/>
    <w:rsid w:val="007B5B5A"/>
    <w:rsid w:val="007B5E20"/>
    <w:rsid w:val="007B68F8"/>
    <w:rsid w:val="007C022E"/>
    <w:rsid w:val="007C0E43"/>
    <w:rsid w:val="007C1468"/>
    <w:rsid w:val="007C2055"/>
    <w:rsid w:val="007C2A18"/>
    <w:rsid w:val="007C617F"/>
    <w:rsid w:val="007C651B"/>
    <w:rsid w:val="007C6D93"/>
    <w:rsid w:val="007C6F5B"/>
    <w:rsid w:val="007C7EDE"/>
    <w:rsid w:val="007D0F14"/>
    <w:rsid w:val="007D356D"/>
    <w:rsid w:val="007D6E31"/>
    <w:rsid w:val="007E00F6"/>
    <w:rsid w:val="007E2837"/>
    <w:rsid w:val="007E31AC"/>
    <w:rsid w:val="007E5575"/>
    <w:rsid w:val="007E5C4C"/>
    <w:rsid w:val="007F154B"/>
    <w:rsid w:val="007F4FA3"/>
    <w:rsid w:val="007F52C3"/>
    <w:rsid w:val="007F7E3B"/>
    <w:rsid w:val="00800119"/>
    <w:rsid w:val="008006B3"/>
    <w:rsid w:val="00800910"/>
    <w:rsid w:val="00801676"/>
    <w:rsid w:val="00801743"/>
    <w:rsid w:val="008018EB"/>
    <w:rsid w:val="00803D34"/>
    <w:rsid w:val="00803F1C"/>
    <w:rsid w:val="008066F5"/>
    <w:rsid w:val="0080712A"/>
    <w:rsid w:val="00807BC4"/>
    <w:rsid w:val="0081003D"/>
    <w:rsid w:val="00811E26"/>
    <w:rsid w:val="00812EEC"/>
    <w:rsid w:val="008137A9"/>
    <w:rsid w:val="008138F6"/>
    <w:rsid w:val="00814338"/>
    <w:rsid w:val="00814F06"/>
    <w:rsid w:val="008160B3"/>
    <w:rsid w:val="00817370"/>
    <w:rsid w:val="00820F5B"/>
    <w:rsid w:val="00820FCA"/>
    <w:rsid w:val="008210DF"/>
    <w:rsid w:val="00821808"/>
    <w:rsid w:val="00822AFD"/>
    <w:rsid w:val="00825A39"/>
    <w:rsid w:val="00826460"/>
    <w:rsid w:val="008318C6"/>
    <w:rsid w:val="00831B77"/>
    <w:rsid w:val="00832CAF"/>
    <w:rsid w:val="00833E7C"/>
    <w:rsid w:val="00835B53"/>
    <w:rsid w:val="0084006B"/>
    <w:rsid w:val="00843698"/>
    <w:rsid w:val="00844223"/>
    <w:rsid w:val="00847E4B"/>
    <w:rsid w:val="00851252"/>
    <w:rsid w:val="008519FC"/>
    <w:rsid w:val="00851C12"/>
    <w:rsid w:val="00852927"/>
    <w:rsid w:val="008531ED"/>
    <w:rsid w:val="00853B60"/>
    <w:rsid w:val="00855061"/>
    <w:rsid w:val="00855A78"/>
    <w:rsid w:val="0085775E"/>
    <w:rsid w:val="00860A53"/>
    <w:rsid w:val="00863507"/>
    <w:rsid w:val="00865730"/>
    <w:rsid w:val="00866534"/>
    <w:rsid w:val="00866BA2"/>
    <w:rsid w:val="008670D4"/>
    <w:rsid w:val="00867860"/>
    <w:rsid w:val="00870E9E"/>
    <w:rsid w:val="00872DDF"/>
    <w:rsid w:val="00874369"/>
    <w:rsid w:val="00875C2A"/>
    <w:rsid w:val="00876424"/>
    <w:rsid w:val="00877CB9"/>
    <w:rsid w:val="00880169"/>
    <w:rsid w:val="00880D3B"/>
    <w:rsid w:val="00881279"/>
    <w:rsid w:val="00881C81"/>
    <w:rsid w:val="0088214D"/>
    <w:rsid w:val="00882280"/>
    <w:rsid w:val="008868A4"/>
    <w:rsid w:val="00887A71"/>
    <w:rsid w:val="00890E40"/>
    <w:rsid w:val="00892861"/>
    <w:rsid w:val="00892AAF"/>
    <w:rsid w:val="00893AF1"/>
    <w:rsid w:val="0089779F"/>
    <w:rsid w:val="008A27BC"/>
    <w:rsid w:val="008A2DF1"/>
    <w:rsid w:val="008A41B5"/>
    <w:rsid w:val="008A4784"/>
    <w:rsid w:val="008A593D"/>
    <w:rsid w:val="008A6C11"/>
    <w:rsid w:val="008B219A"/>
    <w:rsid w:val="008B28A7"/>
    <w:rsid w:val="008B3350"/>
    <w:rsid w:val="008B3C17"/>
    <w:rsid w:val="008B3FD3"/>
    <w:rsid w:val="008B4BAD"/>
    <w:rsid w:val="008B55CB"/>
    <w:rsid w:val="008B5D00"/>
    <w:rsid w:val="008B5FB8"/>
    <w:rsid w:val="008B6287"/>
    <w:rsid w:val="008C0BD7"/>
    <w:rsid w:val="008C0F75"/>
    <w:rsid w:val="008C217B"/>
    <w:rsid w:val="008C39F1"/>
    <w:rsid w:val="008C3C62"/>
    <w:rsid w:val="008C57E0"/>
    <w:rsid w:val="008C5B2B"/>
    <w:rsid w:val="008C608B"/>
    <w:rsid w:val="008C6091"/>
    <w:rsid w:val="008C62C5"/>
    <w:rsid w:val="008C7059"/>
    <w:rsid w:val="008C7177"/>
    <w:rsid w:val="008C73E4"/>
    <w:rsid w:val="008D03E5"/>
    <w:rsid w:val="008D0C29"/>
    <w:rsid w:val="008D2205"/>
    <w:rsid w:val="008D5C70"/>
    <w:rsid w:val="008D65CD"/>
    <w:rsid w:val="008D6C51"/>
    <w:rsid w:val="008D7C0D"/>
    <w:rsid w:val="008E0B66"/>
    <w:rsid w:val="008E16B4"/>
    <w:rsid w:val="008E1A6F"/>
    <w:rsid w:val="008E1E89"/>
    <w:rsid w:val="008E3795"/>
    <w:rsid w:val="008E5B8C"/>
    <w:rsid w:val="008E75BD"/>
    <w:rsid w:val="008F032D"/>
    <w:rsid w:val="008F09BA"/>
    <w:rsid w:val="008F118F"/>
    <w:rsid w:val="008F2D39"/>
    <w:rsid w:val="008F4DBE"/>
    <w:rsid w:val="008F7169"/>
    <w:rsid w:val="00900CA9"/>
    <w:rsid w:val="009016F7"/>
    <w:rsid w:val="00902993"/>
    <w:rsid w:val="00902B52"/>
    <w:rsid w:val="009057C8"/>
    <w:rsid w:val="00907CCA"/>
    <w:rsid w:val="009100C2"/>
    <w:rsid w:val="0091020F"/>
    <w:rsid w:val="00916688"/>
    <w:rsid w:val="009166DF"/>
    <w:rsid w:val="0091700D"/>
    <w:rsid w:val="00921938"/>
    <w:rsid w:val="00922333"/>
    <w:rsid w:val="009234DA"/>
    <w:rsid w:val="00924023"/>
    <w:rsid w:val="00924084"/>
    <w:rsid w:val="009247B2"/>
    <w:rsid w:val="00925573"/>
    <w:rsid w:val="00926509"/>
    <w:rsid w:val="00927874"/>
    <w:rsid w:val="00927FC3"/>
    <w:rsid w:val="009302FD"/>
    <w:rsid w:val="00932754"/>
    <w:rsid w:val="00932840"/>
    <w:rsid w:val="009331C8"/>
    <w:rsid w:val="009338EC"/>
    <w:rsid w:val="00933D50"/>
    <w:rsid w:val="0093430A"/>
    <w:rsid w:val="0093628A"/>
    <w:rsid w:val="009404C6"/>
    <w:rsid w:val="00941027"/>
    <w:rsid w:val="00941799"/>
    <w:rsid w:val="00942AAA"/>
    <w:rsid w:val="00945B09"/>
    <w:rsid w:val="00945BBF"/>
    <w:rsid w:val="0094609A"/>
    <w:rsid w:val="00946851"/>
    <w:rsid w:val="00946EDE"/>
    <w:rsid w:val="00947333"/>
    <w:rsid w:val="00950880"/>
    <w:rsid w:val="00952D5C"/>
    <w:rsid w:val="00955392"/>
    <w:rsid w:val="0095598A"/>
    <w:rsid w:val="0095765D"/>
    <w:rsid w:val="00961B9C"/>
    <w:rsid w:val="009632D1"/>
    <w:rsid w:val="009633AF"/>
    <w:rsid w:val="0096398A"/>
    <w:rsid w:val="00963B4B"/>
    <w:rsid w:val="009645FD"/>
    <w:rsid w:val="0096665A"/>
    <w:rsid w:val="009675A2"/>
    <w:rsid w:val="00970458"/>
    <w:rsid w:val="00970724"/>
    <w:rsid w:val="00970E16"/>
    <w:rsid w:val="009727FD"/>
    <w:rsid w:val="00973B8D"/>
    <w:rsid w:val="00973C7C"/>
    <w:rsid w:val="00975686"/>
    <w:rsid w:val="00976BFC"/>
    <w:rsid w:val="00976C12"/>
    <w:rsid w:val="009814D6"/>
    <w:rsid w:val="009839DA"/>
    <w:rsid w:val="00986BAD"/>
    <w:rsid w:val="00986BF1"/>
    <w:rsid w:val="00986EA5"/>
    <w:rsid w:val="00990E78"/>
    <w:rsid w:val="00993BA4"/>
    <w:rsid w:val="00993E37"/>
    <w:rsid w:val="00994F14"/>
    <w:rsid w:val="00995B4C"/>
    <w:rsid w:val="00995CDD"/>
    <w:rsid w:val="009960F8"/>
    <w:rsid w:val="00996A61"/>
    <w:rsid w:val="009A24AA"/>
    <w:rsid w:val="009A2ED2"/>
    <w:rsid w:val="009A3473"/>
    <w:rsid w:val="009A36B4"/>
    <w:rsid w:val="009A4DCE"/>
    <w:rsid w:val="009A6C21"/>
    <w:rsid w:val="009A7328"/>
    <w:rsid w:val="009A78AF"/>
    <w:rsid w:val="009B1470"/>
    <w:rsid w:val="009B2B73"/>
    <w:rsid w:val="009B36D4"/>
    <w:rsid w:val="009C098A"/>
    <w:rsid w:val="009C2658"/>
    <w:rsid w:val="009C27C9"/>
    <w:rsid w:val="009D005A"/>
    <w:rsid w:val="009D1AD6"/>
    <w:rsid w:val="009D2410"/>
    <w:rsid w:val="009D26CE"/>
    <w:rsid w:val="009D2E5C"/>
    <w:rsid w:val="009D3761"/>
    <w:rsid w:val="009D3D4F"/>
    <w:rsid w:val="009D4F2F"/>
    <w:rsid w:val="009D519A"/>
    <w:rsid w:val="009D6AAF"/>
    <w:rsid w:val="009D7855"/>
    <w:rsid w:val="009E0031"/>
    <w:rsid w:val="009E29EC"/>
    <w:rsid w:val="009E2B50"/>
    <w:rsid w:val="009E3E0F"/>
    <w:rsid w:val="009E4EA4"/>
    <w:rsid w:val="009E5C3A"/>
    <w:rsid w:val="009E67C2"/>
    <w:rsid w:val="009F560B"/>
    <w:rsid w:val="009F5AED"/>
    <w:rsid w:val="009F5E2E"/>
    <w:rsid w:val="009F7ADC"/>
    <w:rsid w:val="00A013F7"/>
    <w:rsid w:val="00A0256D"/>
    <w:rsid w:val="00A02EEC"/>
    <w:rsid w:val="00A0395E"/>
    <w:rsid w:val="00A03C4D"/>
    <w:rsid w:val="00A04558"/>
    <w:rsid w:val="00A07662"/>
    <w:rsid w:val="00A1097E"/>
    <w:rsid w:val="00A10D52"/>
    <w:rsid w:val="00A11BED"/>
    <w:rsid w:val="00A132E2"/>
    <w:rsid w:val="00A133E7"/>
    <w:rsid w:val="00A147DD"/>
    <w:rsid w:val="00A16263"/>
    <w:rsid w:val="00A16846"/>
    <w:rsid w:val="00A16ADF"/>
    <w:rsid w:val="00A16BA7"/>
    <w:rsid w:val="00A17372"/>
    <w:rsid w:val="00A222CB"/>
    <w:rsid w:val="00A2234A"/>
    <w:rsid w:val="00A23C09"/>
    <w:rsid w:val="00A263BE"/>
    <w:rsid w:val="00A310FC"/>
    <w:rsid w:val="00A32A7E"/>
    <w:rsid w:val="00A353A4"/>
    <w:rsid w:val="00A400FB"/>
    <w:rsid w:val="00A41795"/>
    <w:rsid w:val="00A44797"/>
    <w:rsid w:val="00A45507"/>
    <w:rsid w:val="00A466D9"/>
    <w:rsid w:val="00A46847"/>
    <w:rsid w:val="00A472D7"/>
    <w:rsid w:val="00A5089A"/>
    <w:rsid w:val="00A5225E"/>
    <w:rsid w:val="00A555CB"/>
    <w:rsid w:val="00A55755"/>
    <w:rsid w:val="00A57DD8"/>
    <w:rsid w:val="00A60812"/>
    <w:rsid w:val="00A60C35"/>
    <w:rsid w:val="00A6173D"/>
    <w:rsid w:val="00A6189F"/>
    <w:rsid w:val="00A6236A"/>
    <w:rsid w:val="00A62B7D"/>
    <w:rsid w:val="00A63105"/>
    <w:rsid w:val="00A64665"/>
    <w:rsid w:val="00A65F29"/>
    <w:rsid w:val="00A65F3F"/>
    <w:rsid w:val="00A67E6C"/>
    <w:rsid w:val="00A701CA"/>
    <w:rsid w:val="00A70262"/>
    <w:rsid w:val="00A7124A"/>
    <w:rsid w:val="00A71CBA"/>
    <w:rsid w:val="00A74900"/>
    <w:rsid w:val="00A74F77"/>
    <w:rsid w:val="00A7603A"/>
    <w:rsid w:val="00A76BC2"/>
    <w:rsid w:val="00A776D1"/>
    <w:rsid w:val="00A77DCB"/>
    <w:rsid w:val="00A803A2"/>
    <w:rsid w:val="00A807CD"/>
    <w:rsid w:val="00A80D1A"/>
    <w:rsid w:val="00A81E89"/>
    <w:rsid w:val="00A8271E"/>
    <w:rsid w:val="00A83FC8"/>
    <w:rsid w:val="00A843C4"/>
    <w:rsid w:val="00A85F3F"/>
    <w:rsid w:val="00A863C7"/>
    <w:rsid w:val="00A86597"/>
    <w:rsid w:val="00A90C06"/>
    <w:rsid w:val="00A90E61"/>
    <w:rsid w:val="00A937E6"/>
    <w:rsid w:val="00A93C34"/>
    <w:rsid w:val="00A94E9B"/>
    <w:rsid w:val="00A95CAD"/>
    <w:rsid w:val="00AA1894"/>
    <w:rsid w:val="00AA3246"/>
    <w:rsid w:val="00AA38AC"/>
    <w:rsid w:val="00AA412C"/>
    <w:rsid w:val="00AA4579"/>
    <w:rsid w:val="00AA45A1"/>
    <w:rsid w:val="00AA4A2C"/>
    <w:rsid w:val="00AA4BFE"/>
    <w:rsid w:val="00AA6111"/>
    <w:rsid w:val="00AA6E89"/>
    <w:rsid w:val="00AA7106"/>
    <w:rsid w:val="00AA73AE"/>
    <w:rsid w:val="00AA7727"/>
    <w:rsid w:val="00AB040D"/>
    <w:rsid w:val="00AB1804"/>
    <w:rsid w:val="00AB408E"/>
    <w:rsid w:val="00AB5454"/>
    <w:rsid w:val="00AB6113"/>
    <w:rsid w:val="00AB75BC"/>
    <w:rsid w:val="00AC01B7"/>
    <w:rsid w:val="00AC0C29"/>
    <w:rsid w:val="00AC2433"/>
    <w:rsid w:val="00AC3215"/>
    <w:rsid w:val="00AC396C"/>
    <w:rsid w:val="00AC417A"/>
    <w:rsid w:val="00AC4DE9"/>
    <w:rsid w:val="00AC5194"/>
    <w:rsid w:val="00AC5244"/>
    <w:rsid w:val="00AC54E6"/>
    <w:rsid w:val="00AC561E"/>
    <w:rsid w:val="00AC6E29"/>
    <w:rsid w:val="00AD22AC"/>
    <w:rsid w:val="00AD6F48"/>
    <w:rsid w:val="00AD7158"/>
    <w:rsid w:val="00AE1745"/>
    <w:rsid w:val="00AE1F6C"/>
    <w:rsid w:val="00AE3A2C"/>
    <w:rsid w:val="00AE3E14"/>
    <w:rsid w:val="00AE4C38"/>
    <w:rsid w:val="00AE739E"/>
    <w:rsid w:val="00AF0822"/>
    <w:rsid w:val="00AF13F9"/>
    <w:rsid w:val="00AF1C0E"/>
    <w:rsid w:val="00AF47D9"/>
    <w:rsid w:val="00AF54F9"/>
    <w:rsid w:val="00AF7F81"/>
    <w:rsid w:val="00B00A72"/>
    <w:rsid w:val="00B03749"/>
    <w:rsid w:val="00B05020"/>
    <w:rsid w:val="00B05907"/>
    <w:rsid w:val="00B05AB7"/>
    <w:rsid w:val="00B06626"/>
    <w:rsid w:val="00B16414"/>
    <w:rsid w:val="00B170D0"/>
    <w:rsid w:val="00B17443"/>
    <w:rsid w:val="00B17548"/>
    <w:rsid w:val="00B23657"/>
    <w:rsid w:val="00B26260"/>
    <w:rsid w:val="00B31D85"/>
    <w:rsid w:val="00B32E2D"/>
    <w:rsid w:val="00B359D0"/>
    <w:rsid w:val="00B375E0"/>
    <w:rsid w:val="00B37D9C"/>
    <w:rsid w:val="00B4166A"/>
    <w:rsid w:val="00B4182A"/>
    <w:rsid w:val="00B41A64"/>
    <w:rsid w:val="00B41DA9"/>
    <w:rsid w:val="00B45361"/>
    <w:rsid w:val="00B4587A"/>
    <w:rsid w:val="00B51653"/>
    <w:rsid w:val="00B5585A"/>
    <w:rsid w:val="00B56AF3"/>
    <w:rsid w:val="00B57A0F"/>
    <w:rsid w:val="00B62E3E"/>
    <w:rsid w:val="00B63037"/>
    <w:rsid w:val="00B650D8"/>
    <w:rsid w:val="00B6667F"/>
    <w:rsid w:val="00B66A22"/>
    <w:rsid w:val="00B6732D"/>
    <w:rsid w:val="00B702B3"/>
    <w:rsid w:val="00B70A0B"/>
    <w:rsid w:val="00B71714"/>
    <w:rsid w:val="00B719B8"/>
    <w:rsid w:val="00B72E16"/>
    <w:rsid w:val="00B737D9"/>
    <w:rsid w:val="00B740D8"/>
    <w:rsid w:val="00B760DA"/>
    <w:rsid w:val="00B77212"/>
    <w:rsid w:val="00B7722F"/>
    <w:rsid w:val="00B77243"/>
    <w:rsid w:val="00B80CBD"/>
    <w:rsid w:val="00B84323"/>
    <w:rsid w:val="00B850E9"/>
    <w:rsid w:val="00B8638D"/>
    <w:rsid w:val="00B91043"/>
    <w:rsid w:val="00B91ACA"/>
    <w:rsid w:val="00B92827"/>
    <w:rsid w:val="00B93E6F"/>
    <w:rsid w:val="00B9439E"/>
    <w:rsid w:val="00B94B9D"/>
    <w:rsid w:val="00B96DB3"/>
    <w:rsid w:val="00BA01CF"/>
    <w:rsid w:val="00BA0A83"/>
    <w:rsid w:val="00BA0DAE"/>
    <w:rsid w:val="00BA296F"/>
    <w:rsid w:val="00BA2A50"/>
    <w:rsid w:val="00BA3C38"/>
    <w:rsid w:val="00BA4231"/>
    <w:rsid w:val="00BA47C6"/>
    <w:rsid w:val="00BA5B1B"/>
    <w:rsid w:val="00BA5BD0"/>
    <w:rsid w:val="00BA64D1"/>
    <w:rsid w:val="00BB25C8"/>
    <w:rsid w:val="00BB292A"/>
    <w:rsid w:val="00BB2EB1"/>
    <w:rsid w:val="00BB515E"/>
    <w:rsid w:val="00BB5192"/>
    <w:rsid w:val="00BB5512"/>
    <w:rsid w:val="00BB5AA9"/>
    <w:rsid w:val="00BB5E25"/>
    <w:rsid w:val="00BB75D3"/>
    <w:rsid w:val="00BC0111"/>
    <w:rsid w:val="00BC30BC"/>
    <w:rsid w:val="00BC3983"/>
    <w:rsid w:val="00BC47B4"/>
    <w:rsid w:val="00BC573C"/>
    <w:rsid w:val="00BC590B"/>
    <w:rsid w:val="00BC6BD0"/>
    <w:rsid w:val="00BD0842"/>
    <w:rsid w:val="00BD43AE"/>
    <w:rsid w:val="00BD48F4"/>
    <w:rsid w:val="00BE1B85"/>
    <w:rsid w:val="00BE2ADA"/>
    <w:rsid w:val="00BE4009"/>
    <w:rsid w:val="00BE4A23"/>
    <w:rsid w:val="00BE4EDA"/>
    <w:rsid w:val="00BE5367"/>
    <w:rsid w:val="00BE6729"/>
    <w:rsid w:val="00BF0AE1"/>
    <w:rsid w:val="00BF2547"/>
    <w:rsid w:val="00BF428F"/>
    <w:rsid w:val="00BF4674"/>
    <w:rsid w:val="00BF5480"/>
    <w:rsid w:val="00C02EE3"/>
    <w:rsid w:val="00C04272"/>
    <w:rsid w:val="00C1209C"/>
    <w:rsid w:val="00C123F8"/>
    <w:rsid w:val="00C128C3"/>
    <w:rsid w:val="00C12BDD"/>
    <w:rsid w:val="00C1691C"/>
    <w:rsid w:val="00C20C06"/>
    <w:rsid w:val="00C2201A"/>
    <w:rsid w:val="00C24D23"/>
    <w:rsid w:val="00C2501A"/>
    <w:rsid w:val="00C27A25"/>
    <w:rsid w:val="00C3207C"/>
    <w:rsid w:val="00C32589"/>
    <w:rsid w:val="00C32940"/>
    <w:rsid w:val="00C32BBA"/>
    <w:rsid w:val="00C330A0"/>
    <w:rsid w:val="00C337A6"/>
    <w:rsid w:val="00C341FF"/>
    <w:rsid w:val="00C34D16"/>
    <w:rsid w:val="00C375C1"/>
    <w:rsid w:val="00C40D13"/>
    <w:rsid w:val="00C425B2"/>
    <w:rsid w:val="00C44E33"/>
    <w:rsid w:val="00C450EE"/>
    <w:rsid w:val="00C45699"/>
    <w:rsid w:val="00C47CB0"/>
    <w:rsid w:val="00C51902"/>
    <w:rsid w:val="00C51FFE"/>
    <w:rsid w:val="00C548B9"/>
    <w:rsid w:val="00C56200"/>
    <w:rsid w:val="00C56E07"/>
    <w:rsid w:val="00C575B1"/>
    <w:rsid w:val="00C6038A"/>
    <w:rsid w:val="00C610E6"/>
    <w:rsid w:val="00C61465"/>
    <w:rsid w:val="00C61DF0"/>
    <w:rsid w:val="00C62606"/>
    <w:rsid w:val="00C642AC"/>
    <w:rsid w:val="00C654FF"/>
    <w:rsid w:val="00C6571D"/>
    <w:rsid w:val="00C657CB"/>
    <w:rsid w:val="00C65A24"/>
    <w:rsid w:val="00C667F4"/>
    <w:rsid w:val="00C705A3"/>
    <w:rsid w:val="00C708BF"/>
    <w:rsid w:val="00C71353"/>
    <w:rsid w:val="00C76CF3"/>
    <w:rsid w:val="00C80D0C"/>
    <w:rsid w:val="00C80FC6"/>
    <w:rsid w:val="00C86610"/>
    <w:rsid w:val="00C870D1"/>
    <w:rsid w:val="00C90EE0"/>
    <w:rsid w:val="00C911E3"/>
    <w:rsid w:val="00C945DF"/>
    <w:rsid w:val="00C948DA"/>
    <w:rsid w:val="00C97560"/>
    <w:rsid w:val="00CA0895"/>
    <w:rsid w:val="00CA2530"/>
    <w:rsid w:val="00CA2E69"/>
    <w:rsid w:val="00CA44CE"/>
    <w:rsid w:val="00CA4FD4"/>
    <w:rsid w:val="00CA5E8C"/>
    <w:rsid w:val="00CA6199"/>
    <w:rsid w:val="00CA69EB"/>
    <w:rsid w:val="00CA6F92"/>
    <w:rsid w:val="00CA7A62"/>
    <w:rsid w:val="00CB07B1"/>
    <w:rsid w:val="00CB2950"/>
    <w:rsid w:val="00CB29C1"/>
    <w:rsid w:val="00CB495C"/>
    <w:rsid w:val="00CB5A03"/>
    <w:rsid w:val="00CB63EC"/>
    <w:rsid w:val="00CB66EB"/>
    <w:rsid w:val="00CC4B3E"/>
    <w:rsid w:val="00CC6F19"/>
    <w:rsid w:val="00CD0AAE"/>
    <w:rsid w:val="00CD1463"/>
    <w:rsid w:val="00CD1498"/>
    <w:rsid w:val="00CD1FF7"/>
    <w:rsid w:val="00CD305F"/>
    <w:rsid w:val="00CD4C45"/>
    <w:rsid w:val="00CD4F41"/>
    <w:rsid w:val="00CD7477"/>
    <w:rsid w:val="00CE0966"/>
    <w:rsid w:val="00CE3D40"/>
    <w:rsid w:val="00CF0B56"/>
    <w:rsid w:val="00CF103F"/>
    <w:rsid w:val="00CF1C19"/>
    <w:rsid w:val="00CF1CB6"/>
    <w:rsid w:val="00CF501A"/>
    <w:rsid w:val="00CF6A46"/>
    <w:rsid w:val="00CF78BE"/>
    <w:rsid w:val="00D05DE4"/>
    <w:rsid w:val="00D069EA"/>
    <w:rsid w:val="00D07B6F"/>
    <w:rsid w:val="00D1119F"/>
    <w:rsid w:val="00D11D24"/>
    <w:rsid w:val="00D11EB1"/>
    <w:rsid w:val="00D13CD9"/>
    <w:rsid w:val="00D142A3"/>
    <w:rsid w:val="00D15994"/>
    <w:rsid w:val="00D15E1B"/>
    <w:rsid w:val="00D167E4"/>
    <w:rsid w:val="00D1691E"/>
    <w:rsid w:val="00D17BDE"/>
    <w:rsid w:val="00D20AF9"/>
    <w:rsid w:val="00D20F40"/>
    <w:rsid w:val="00D24E89"/>
    <w:rsid w:val="00D25CBC"/>
    <w:rsid w:val="00D25EB1"/>
    <w:rsid w:val="00D2785E"/>
    <w:rsid w:val="00D279DE"/>
    <w:rsid w:val="00D31E14"/>
    <w:rsid w:val="00D33F68"/>
    <w:rsid w:val="00D361F1"/>
    <w:rsid w:val="00D36BEE"/>
    <w:rsid w:val="00D37033"/>
    <w:rsid w:val="00D373F0"/>
    <w:rsid w:val="00D37939"/>
    <w:rsid w:val="00D40D40"/>
    <w:rsid w:val="00D4145C"/>
    <w:rsid w:val="00D417CD"/>
    <w:rsid w:val="00D41B06"/>
    <w:rsid w:val="00D42414"/>
    <w:rsid w:val="00D43A28"/>
    <w:rsid w:val="00D43CCE"/>
    <w:rsid w:val="00D441FB"/>
    <w:rsid w:val="00D44FAF"/>
    <w:rsid w:val="00D4579B"/>
    <w:rsid w:val="00D5065F"/>
    <w:rsid w:val="00D516BB"/>
    <w:rsid w:val="00D5485A"/>
    <w:rsid w:val="00D5554D"/>
    <w:rsid w:val="00D557CC"/>
    <w:rsid w:val="00D5591A"/>
    <w:rsid w:val="00D55FD5"/>
    <w:rsid w:val="00D56CC4"/>
    <w:rsid w:val="00D608A7"/>
    <w:rsid w:val="00D620C2"/>
    <w:rsid w:val="00D64C0A"/>
    <w:rsid w:val="00D662F6"/>
    <w:rsid w:val="00D6691F"/>
    <w:rsid w:val="00D713D3"/>
    <w:rsid w:val="00D71947"/>
    <w:rsid w:val="00D73662"/>
    <w:rsid w:val="00D76D3F"/>
    <w:rsid w:val="00D80B23"/>
    <w:rsid w:val="00D80CC2"/>
    <w:rsid w:val="00D8263D"/>
    <w:rsid w:val="00D82F21"/>
    <w:rsid w:val="00D845ED"/>
    <w:rsid w:val="00D86699"/>
    <w:rsid w:val="00D91D29"/>
    <w:rsid w:val="00D926FA"/>
    <w:rsid w:val="00D93D23"/>
    <w:rsid w:val="00D94371"/>
    <w:rsid w:val="00D94BEE"/>
    <w:rsid w:val="00D95353"/>
    <w:rsid w:val="00D95952"/>
    <w:rsid w:val="00D96793"/>
    <w:rsid w:val="00D9753F"/>
    <w:rsid w:val="00D97B84"/>
    <w:rsid w:val="00D97EB2"/>
    <w:rsid w:val="00DA0BC3"/>
    <w:rsid w:val="00DA34B0"/>
    <w:rsid w:val="00DA3B47"/>
    <w:rsid w:val="00DA3D53"/>
    <w:rsid w:val="00DA3DCF"/>
    <w:rsid w:val="00DA3F1F"/>
    <w:rsid w:val="00DA4FFB"/>
    <w:rsid w:val="00DA5C72"/>
    <w:rsid w:val="00DA61A6"/>
    <w:rsid w:val="00DB01C4"/>
    <w:rsid w:val="00DB0E94"/>
    <w:rsid w:val="00DB1AB2"/>
    <w:rsid w:val="00DB234B"/>
    <w:rsid w:val="00DB2AC1"/>
    <w:rsid w:val="00DB301B"/>
    <w:rsid w:val="00DB37F0"/>
    <w:rsid w:val="00DB7B79"/>
    <w:rsid w:val="00DC5AD8"/>
    <w:rsid w:val="00DD05EF"/>
    <w:rsid w:val="00DD1B01"/>
    <w:rsid w:val="00DD1C54"/>
    <w:rsid w:val="00DD3373"/>
    <w:rsid w:val="00DD4F99"/>
    <w:rsid w:val="00DD7F99"/>
    <w:rsid w:val="00DE22A8"/>
    <w:rsid w:val="00DE25E1"/>
    <w:rsid w:val="00DE47DB"/>
    <w:rsid w:val="00DE684D"/>
    <w:rsid w:val="00DE698B"/>
    <w:rsid w:val="00DF1742"/>
    <w:rsid w:val="00DF3EBA"/>
    <w:rsid w:val="00DF51D6"/>
    <w:rsid w:val="00DF6101"/>
    <w:rsid w:val="00DF6EC3"/>
    <w:rsid w:val="00E00BB5"/>
    <w:rsid w:val="00E00D8B"/>
    <w:rsid w:val="00E0131F"/>
    <w:rsid w:val="00E01F69"/>
    <w:rsid w:val="00E026A4"/>
    <w:rsid w:val="00E035CA"/>
    <w:rsid w:val="00E037C3"/>
    <w:rsid w:val="00E049DB"/>
    <w:rsid w:val="00E06F31"/>
    <w:rsid w:val="00E07DD7"/>
    <w:rsid w:val="00E10F37"/>
    <w:rsid w:val="00E116C4"/>
    <w:rsid w:val="00E131D9"/>
    <w:rsid w:val="00E14576"/>
    <w:rsid w:val="00E14BDF"/>
    <w:rsid w:val="00E17578"/>
    <w:rsid w:val="00E20050"/>
    <w:rsid w:val="00E20351"/>
    <w:rsid w:val="00E2055C"/>
    <w:rsid w:val="00E20C90"/>
    <w:rsid w:val="00E24241"/>
    <w:rsid w:val="00E26831"/>
    <w:rsid w:val="00E309F3"/>
    <w:rsid w:val="00E30BCD"/>
    <w:rsid w:val="00E315E4"/>
    <w:rsid w:val="00E32D9B"/>
    <w:rsid w:val="00E32E6C"/>
    <w:rsid w:val="00E32FA4"/>
    <w:rsid w:val="00E3340E"/>
    <w:rsid w:val="00E34D2E"/>
    <w:rsid w:val="00E34E20"/>
    <w:rsid w:val="00E44320"/>
    <w:rsid w:val="00E464CE"/>
    <w:rsid w:val="00E46A3D"/>
    <w:rsid w:val="00E524FC"/>
    <w:rsid w:val="00E56B58"/>
    <w:rsid w:val="00E57E48"/>
    <w:rsid w:val="00E6024F"/>
    <w:rsid w:val="00E6074A"/>
    <w:rsid w:val="00E627E1"/>
    <w:rsid w:val="00E630DC"/>
    <w:rsid w:val="00E63418"/>
    <w:rsid w:val="00E6342C"/>
    <w:rsid w:val="00E63B74"/>
    <w:rsid w:val="00E66D09"/>
    <w:rsid w:val="00E6791D"/>
    <w:rsid w:val="00E7018A"/>
    <w:rsid w:val="00E70730"/>
    <w:rsid w:val="00E71C92"/>
    <w:rsid w:val="00E71CB1"/>
    <w:rsid w:val="00E74EA0"/>
    <w:rsid w:val="00E83A87"/>
    <w:rsid w:val="00E8473B"/>
    <w:rsid w:val="00E850A3"/>
    <w:rsid w:val="00E90627"/>
    <w:rsid w:val="00E92D5C"/>
    <w:rsid w:val="00E971EE"/>
    <w:rsid w:val="00E97C7A"/>
    <w:rsid w:val="00EA2B24"/>
    <w:rsid w:val="00EA3246"/>
    <w:rsid w:val="00EA4145"/>
    <w:rsid w:val="00EA7E93"/>
    <w:rsid w:val="00EB0F64"/>
    <w:rsid w:val="00EB19DE"/>
    <w:rsid w:val="00EB4894"/>
    <w:rsid w:val="00EB48A1"/>
    <w:rsid w:val="00EB64C6"/>
    <w:rsid w:val="00EB7E9C"/>
    <w:rsid w:val="00EC0C29"/>
    <w:rsid w:val="00EC0DBA"/>
    <w:rsid w:val="00EC19C9"/>
    <w:rsid w:val="00EC1DE9"/>
    <w:rsid w:val="00EC31E4"/>
    <w:rsid w:val="00EC54B6"/>
    <w:rsid w:val="00EC5C10"/>
    <w:rsid w:val="00EC5C54"/>
    <w:rsid w:val="00EC7201"/>
    <w:rsid w:val="00ED1218"/>
    <w:rsid w:val="00ED19E6"/>
    <w:rsid w:val="00ED2107"/>
    <w:rsid w:val="00ED5553"/>
    <w:rsid w:val="00ED63EF"/>
    <w:rsid w:val="00EE31DA"/>
    <w:rsid w:val="00EE5670"/>
    <w:rsid w:val="00EF09FD"/>
    <w:rsid w:val="00EF131E"/>
    <w:rsid w:val="00EF1D83"/>
    <w:rsid w:val="00EF53B5"/>
    <w:rsid w:val="00EF754B"/>
    <w:rsid w:val="00EF7D69"/>
    <w:rsid w:val="00F00184"/>
    <w:rsid w:val="00F006DC"/>
    <w:rsid w:val="00F0103D"/>
    <w:rsid w:val="00F0339C"/>
    <w:rsid w:val="00F03FCB"/>
    <w:rsid w:val="00F0489C"/>
    <w:rsid w:val="00F05FF4"/>
    <w:rsid w:val="00F06BBF"/>
    <w:rsid w:val="00F07AFE"/>
    <w:rsid w:val="00F10353"/>
    <w:rsid w:val="00F1054B"/>
    <w:rsid w:val="00F11284"/>
    <w:rsid w:val="00F129E2"/>
    <w:rsid w:val="00F16D67"/>
    <w:rsid w:val="00F17592"/>
    <w:rsid w:val="00F20875"/>
    <w:rsid w:val="00F22538"/>
    <w:rsid w:val="00F237A1"/>
    <w:rsid w:val="00F2466A"/>
    <w:rsid w:val="00F269C5"/>
    <w:rsid w:val="00F26E78"/>
    <w:rsid w:val="00F276CF"/>
    <w:rsid w:val="00F2790E"/>
    <w:rsid w:val="00F304B0"/>
    <w:rsid w:val="00F30767"/>
    <w:rsid w:val="00F30B81"/>
    <w:rsid w:val="00F31ACE"/>
    <w:rsid w:val="00F332B7"/>
    <w:rsid w:val="00F355A1"/>
    <w:rsid w:val="00F35716"/>
    <w:rsid w:val="00F357F0"/>
    <w:rsid w:val="00F35E98"/>
    <w:rsid w:val="00F35F53"/>
    <w:rsid w:val="00F369D4"/>
    <w:rsid w:val="00F37FF8"/>
    <w:rsid w:val="00F40018"/>
    <w:rsid w:val="00F40510"/>
    <w:rsid w:val="00F427B0"/>
    <w:rsid w:val="00F42FBA"/>
    <w:rsid w:val="00F467B4"/>
    <w:rsid w:val="00F46821"/>
    <w:rsid w:val="00F4723E"/>
    <w:rsid w:val="00F50F4C"/>
    <w:rsid w:val="00F5101B"/>
    <w:rsid w:val="00F52E0B"/>
    <w:rsid w:val="00F53690"/>
    <w:rsid w:val="00F53C97"/>
    <w:rsid w:val="00F549D0"/>
    <w:rsid w:val="00F5522D"/>
    <w:rsid w:val="00F55A73"/>
    <w:rsid w:val="00F572EF"/>
    <w:rsid w:val="00F57D96"/>
    <w:rsid w:val="00F614A4"/>
    <w:rsid w:val="00F617F8"/>
    <w:rsid w:val="00F65DF3"/>
    <w:rsid w:val="00F67EFA"/>
    <w:rsid w:val="00F70D1A"/>
    <w:rsid w:val="00F7253D"/>
    <w:rsid w:val="00F75AF4"/>
    <w:rsid w:val="00F80433"/>
    <w:rsid w:val="00F81D02"/>
    <w:rsid w:val="00F82320"/>
    <w:rsid w:val="00F84985"/>
    <w:rsid w:val="00F84995"/>
    <w:rsid w:val="00F84D43"/>
    <w:rsid w:val="00F850F9"/>
    <w:rsid w:val="00F86257"/>
    <w:rsid w:val="00F871C1"/>
    <w:rsid w:val="00F87DDA"/>
    <w:rsid w:val="00F914A6"/>
    <w:rsid w:val="00F9186D"/>
    <w:rsid w:val="00F9310C"/>
    <w:rsid w:val="00F9338A"/>
    <w:rsid w:val="00F93D55"/>
    <w:rsid w:val="00F93DB3"/>
    <w:rsid w:val="00F956AD"/>
    <w:rsid w:val="00F95A33"/>
    <w:rsid w:val="00F95EA3"/>
    <w:rsid w:val="00F9766A"/>
    <w:rsid w:val="00FA220C"/>
    <w:rsid w:val="00FA2A51"/>
    <w:rsid w:val="00FA32C0"/>
    <w:rsid w:val="00FA42E7"/>
    <w:rsid w:val="00FA47A4"/>
    <w:rsid w:val="00FA4ADE"/>
    <w:rsid w:val="00FA4F34"/>
    <w:rsid w:val="00FA54D8"/>
    <w:rsid w:val="00FA63E7"/>
    <w:rsid w:val="00FA66D2"/>
    <w:rsid w:val="00FA7170"/>
    <w:rsid w:val="00FA7325"/>
    <w:rsid w:val="00FA7BA0"/>
    <w:rsid w:val="00FB161D"/>
    <w:rsid w:val="00FB40B1"/>
    <w:rsid w:val="00FB5810"/>
    <w:rsid w:val="00FB5FEA"/>
    <w:rsid w:val="00FB692C"/>
    <w:rsid w:val="00FC165B"/>
    <w:rsid w:val="00FC3D77"/>
    <w:rsid w:val="00FC5189"/>
    <w:rsid w:val="00FC573B"/>
    <w:rsid w:val="00FC5CFA"/>
    <w:rsid w:val="00FC6E3D"/>
    <w:rsid w:val="00FD00E3"/>
    <w:rsid w:val="00FD0370"/>
    <w:rsid w:val="00FD0C76"/>
    <w:rsid w:val="00FD2128"/>
    <w:rsid w:val="00FD2E59"/>
    <w:rsid w:val="00FD3687"/>
    <w:rsid w:val="00FD4007"/>
    <w:rsid w:val="00FD4A36"/>
    <w:rsid w:val="00FD523A"/>
    <w:rsid w:val="00FD60F6"/>
    <w:rsid w:val="00FE54E9"/>
    <w:rsid w:val="00FE5FAC"/>
    <w:rsid w:val="00FF13C2"/>
    <w:rsid w:val="00FF2D2C"/>
    <w:rsid w:val="00FF39AE"/>
    <w:rsid w:val="00FF3DB5"/>
    <w:rsid w:val="00FF6163"/>
    <w:rsid w:val="00FF6AE3"/>
    <w:rsid w:val="00FF7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BFE65E"/>
  <w15:docId w15:val="{B70E71B5-0CE6-4439-9BE1-BA20723FA10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0C29"/>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12pt" w:after="9pt"/>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9pt"/>
      <w:outlineLvl w:val="1"/>
    </w:pPr>
    <w:rPr>
      <w:sz w:val="32"/>
    </w:rPr>
  </w:style>
  <w:style w:type="paragraph" w:styleId="Heading3">
    <w:name w:val="heading 3"/>
    <w:basedOn w:val="Heading2"/>
    <w:next w:val="Normal"/>
    <w:link w:val="Heading3Char"/>
    <w:qFormat/>
    <w:pPr>
      <w:numPr>
        <w:ilvl w:val="2"/>
      </w:numPr>
      <w:spacing w:before="6pt"/>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pt"/>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start="56.75pt" w:hanging="42.55pt"/>
    </w:pPr>
    <w:rPr>
      <w:rFonts w:eastAsia="Times New Roman"/>
    </w:rPr>
  </w:style>
  <w:style w:type="paragraph" w:customStyle="1" w:styleId="HO">
    <w:name w:val="HO"/>
    <w:basedOn w:val="Normal"/>
    <w:pPr>
      <w:jc w:val="end"/>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start="85.10pt" w:hanging="70.90pt"/>
    </w:pPr>
    <w:rPr>
      <w:rFonts w:eastAsia="Times New Roman"/>
    </w:rPr>
  </w:style>
  <w:style w:type="paragraph" w:customStyle="1" w:styleId="FP">
    <w:name w:val="FP"/>
    <w:basedOn w:val="Normal"/>
    <w:pPr>
      <w:spacing w:after="0pt"/>
    </w:pPr>
    <w:rPr>
      <w:rFonts w:eastAsia="Times New Roman"/>
    </w:r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1"/>
    <w:qFormat/>
    <w:pPr>
      <w:ind w:start="28.40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rFonts w:eastAsia="Times New Roman"/>
      <w:noProof/>
    </w:rPr>
  </w:style>
  <w:style w:type="paragraph" w:customStyle="1" w:styleId="TH">
    <w:name w:val="TH"/>
    <w:basedOn w:val="Normal"/>
    <w:link w:val="THChar"/>
    <w:pPr>
      <w:keepNext/>
      <w:keepLines/>
      <w:spacing w:before="3pt"/>
      <w:jc w:val="center"/>
    </w:pPr>
    <w:rPr>
      <w:rFonts w:ascii="Arial" w:hAnsi="Arial"/>
      <w:b/>
    </w:rPr>
  </w:style>
  <w:style w:type="paragraph" w:customStyle="1" w:styleId="TF">
    <w:name w:val="TF"/>
    <w:basedOn w:val="TH"/>
    <w:pPr>
      <w:keepNext w:val="0"/>
      <w:spacing w:before="0pt" w:after="12pt"/>
    </w:pPr>
  </w:style>
  <w:style w:type="paragraph" w:customStyle="1" w:styleId="NF">
    <w:name w:val="NF"/>
    <w:basedOn w:val="NO"/>
    <w:pPr>
      <w:keepNext/>
      <w:spacing w:after="0pt"/>
    </w:pPr>
    <w:rPr>
      <w:rFonts w:ascii="Arial" w:hAnsi="Arial"/>
      <w:sz w:val="18"/>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semiHidden/>
    <w:pPr>
      <w:tabs>
        <w:tab w:val="center" w:pos="207.65pt"/>
        <w:tab w:val="end" w:pos="415.30pt"/>
      </w:tabs>
    </w:pPr>
  </w:style>
  <w:style w:type="paragraph" w:styleId="Header">
    <w:name w:val="header"/>
    <w:basedOn w:val="Normal"/>
    <w:semiHidden/>
    <w:pPr>
      <w:tabs>
        <w:tab w:val="center" w:pos="207.65pt"/>
        <w:tab w:val="end" w:pos="415.30pt"/>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pt"/>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start="10pt" w:hanging="10pt"/>
    </w:pPr>
  </w:style>
  <w:style w:type="paragraph" w:styleId="IndexHeading">
    <w:name w:val="index heading"/>
    <w:basedOn w:val="Normal"/>
    <w:next w:val="Normal"/>
    <w:semiHidden/>
    <w:pPr>
      <w:pBdr>
        <w:top w:val="single" w:sz="12" w:space="0" w:color="auto"/>
      </w:pBdr>
      <w:overflowPunct/>
      <w:autoSpaceDE/>
      <w:autoSpaceDN/>
      <w:adjustRightInd/>
      <w:spacing w:before="18pt" w:after="12pt"/>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5pt" w:beforeAutospacing="1" w:after="5pt"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3pt" w:after="3pt"/>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6pt"/>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uiPriority w:val="10"/>
    <w:qFormat/>
    <w:rsid w:val="00E66D09"/>
    <w:pPr>
      <w:spacing w:after="6pt"/>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uiPriority w:val="10"/>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pt"/>
      <w:ind w:start="36pt"/>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start" w:pos="81.10pt"/>
      </w:tabs>
      <w:overflowPunct/>
      <w:autoSpaceDE/>
      <w:autoSpaceDN/>
      <w:adjustRightInd/>
      <w:spacing w:after="0pt"/>
      <w:ind w:start="81.10pt" w:hanging="18.15pt"/>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start" w:pos="50.45pt"/>
      </w:tabs>
      <w:overflowPunct/>
      <w:autoSpaceDE/>
      <w:autoSpaceDN/>
      <w:adjustRightInd/>
      <w:spacing w:before="6pt" w:after="10pt" w:line="13.80pt"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2pt" w:after="2pt" w:line="13.80pt"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10pt" w:line="13.80pt"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start" w:pos="68.05pt"/>
      </w:tabs>
      <w:contextualSpacing/>
    </w:pPr>
  </w:style>
  <w:style w:type="paragraph" w:customStyle="1" w:styleId="NormalParagraph">
    <w:name w:val="Normal Paragraph"/>
    <w:uiPriority w:val="99"/>
    <w:qFormat/>
    <w:rsid w:val="00E6074A"/>
    <w:pPr>
      <w:spacing w:after="10pt" w:line="13.80pt"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paragraph" w:styleId="Caption">
    <w:name w:val="caption"/>
    <w:basedOn w:val="Normal"/>
    <w:next w:val="Normal"/>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TableGrid">
    <w:name w:val="Table Grid"/>
    <w:basedOn w:val="TableNormal"/>
    <w:qFormat/>
    <w:rsid w:val="00267A1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26A49"/>
    <w:rPr>
      <w:color w:val="605E5C"/>
      <w:shd w:val="clear" w:color="auto" w:fill="E1DFDD"/>
    </w:rPr>
  </w:style>
  <w:style w:type="paragraph" w:styleId="Revision">
    <w:name w:val="Revision"/>
    <w:hidden/>
    <w:uiPriority w:val="71"/>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リスト段落,列表段落,列,—ñ弌"/>
    <w:basedOn w:val="Normal"/>
    <w:link w:val="ListParagraphChar"/>
    <w:uiPriority w:val="34"/>
    <w:qFormat/>
    <w:rsid w:val="001551D9"/>
    <w:pPr>
      <w:overflowPunct/>
      <w:autoSpaceDE/>
      <w:autoSpaceDN/>
      <w:adjustRightInd/>
      <w:spacing w:after="0pt"/>
      <w:ind w:start="36pt"/>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Agreement">
    <w:name w:val="Agreement"/>
    <w:basedOn w:val="Normal"/>
    <w:next w:val="Doc-text2"/>
    <w:qFormat/>
    <w:rsid w:val="009675A2"/>
    <w:pPr>
      <w:numPr>
        <w:numId w:val="7"/>
      </w:numPr>
      <w:overflowPunct/>
      <w:autoSpaceDE/>
      <w:autoSpaceDN/>
      <w:adjustRightInd/>
      <w:spacing w:before="3pt" w:after="0pt"/>
      <w:textAlignment w:val="auto"/>
    </w:pPr>
    <w:rPr>
      <w:rFonts w:ascii="Arial" w:eastAsia="MS Mincho" w:hAnsi="Arial"/>
      <w:b/>
      <w:color w:val="auto"/>
      <w:szCs w:val="24"/>
      <w:lang w:eastAsia="en-GB"/>
    </w:rPr>
  </w:style>
  <w:style w:type="character" w:customStyle="1" w:styleId="NOChar">
    <w:name w:val="NO Char"/>
    <w:link w:val="NO"/>
    <w:locked/>
    <w:rsid w:val="000D772F"/>
    <w:rPr>
      <w:rFonts w:eastAsia="Times New Roman"/>
      <w:color w:val="000000"/>
      <w:lang w:val="en-GB" w:eastAsia="ja-JP"/>
    </w:rPr>
  </w:style>
  <w:style w:type="character" w:customStyle="1" w:styleId="B1Char1">
    <w:name w:val="B1 Char1"/>
    <w:link w:val="B1"/>
    <w:rsid w:val="00F357F0"/>
    <w:rPr>
      <w:color w:val="000000"/>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sid w:val="006E3235"/>
    <w:rPr>
      <w:rFonts w:ascii="Calibri" w:eastAsia="Calibri" w:hAnsi="Calibri" w:cs="Calibri"/>
      <w:sz w:val="22"/>
      <w:szCs w:val="22"/>
    </w:rPr>
  </w:style>
  <w:style w:type="character" w:customStyle="1" w:styleId="Heading2Char">
    <w:name w:val="Heading 2 Char"/>
    <w:aliases w:val="H2 Char1,h2 Char"/>
    <w:link w:val="Heading2"/>
    <w:rsid w:val="006E3235"/>
    <w:rPr>
      <w:rFonts w:ascii="Arial" w:hAnsi="Arial"/>
      <w:sz w:val="32"/>
      <w:lang w:val="en-GB" w:eastAsia="ja-JP"/>
    </w:rPr>
  </w:style>
  <w:style w:type="character" w:customStyle="1" w:styleId="Heading3Char">
    <w:name w:val="Heading 3 Char"/>
    <w:link w:val="Heading3"/>
    <w:rsid w:val="006E3235"/>
    <w:rPr>
      <w:rFonts w:ascii="Arial" w:hAnsi="Arial"/>
      <w:sz w:val="28"/>
      <w:lang w:val="en-GB" w:eastAsia="ja-JP"/>
    </w:rPr>
  </w:style>
  <w:style w:type="character" w:customStyle="1" w:styleId="Heading1Char">
    <w:name w:val="Heading 1 Char"/>
    <w:link w:val="Heading1"/>
    <w:rsid w:val="006E3235"/>
    <w:rPr>
      <w:rFonts w:ascii="Arial" w:hAnsi="Arial"/>
      <w:sz w:val="36"/>
      <w:lang w:val="en-GB" w:eastAsia="ja-JP"/>
    </w:rPr>
  </w:style>
  <w:style w:type="character" w:customStyle="1" w:styleId="CommentTextChar">
    <w:name w:val="Comment Text Char"/>
    <w:link w:val="CommentText"/>
    <w:semiHidden/>
    <w:rsid w:val="00336111"/>
    <w:rPr>
      <w:color w:val="000000"/>
      <w:lang w:val="en-GB" w:eastAsia="ja-JP"/>
    </w:rPr>
  </w:style>
  <w:style w:type="paragraph" w:customStyle="1" w:styleId="Proposal">
    <w:name w:val="Proposal"/>
    <w:basedOn w:val="BodyText"/>
    <w:rsid w:val="009F7ADC"/>
    <w:pPr>
      <w:numPr>
        <w:numId w:val="10"/>
      </w:numPr>
      <w:tabs>
        <w:tab w:val="clear" w:pos="65.20pt"/>
        <w:tab w:val="num" w:pos="18pt"/>
        <w:tab w:val="start" w:pos="85.05pt"/>
      </w:tabs>
      <w:ind w:start="0pt" w:firstLine="0pt"/>
      <w:jc w:val="both"/>
    </w:pPr>
    <w:rPr>
      <w:rFonts w:ascii="Arial" w:hAnsi="Arial"/>
      <w:b/>
      <w:bCs/>
      <w:color w:val="auto"/>
      <w:lang w:eastAsia="zh-CN"/>
    </w:rPr>
  </w:style>
  <w:style w:type="paragraph" w:customStyle="1" w:styleId="Source">
    <w:name w:val="Source"/>
    <w:basedOn w:val="Normal"/>
    <w:rsid w:val="003E78E0"/>
    <w:pPr>
      <w:overflowPunct/>
      <w:autoSpaceDE/>
      <w:autoSpaceDN/>
      <w:adjustRightInd/>
      <w:spacing w:after="3pt"/>
      <w:ind w:start="99.25pt" w:hanging="99.25pt"/>
      <w:textAlignment w:val="auto"/>
    </w:pPr>
    <w:rPr>
      <w:rFonts w:ascii="Arial" w:eastAsia="PMingLiU" w:hAnsi="Arial" w:cs="Arial"/>
      <w:b/>
      <w:color w:val="auto"/>
      <w:lang w:eastAsia="en-US"/>
    </w:rPr>
  </w:style>
  <w:style w:type="paragraph" w:customStyle="1" w:styleId="Contact">
    <w:name w:val="Contact"/>
    <w:basedOn w:val="Heading4"/>
    <w:rsid w:val="003E78E0"/>
    <w:pPr>
      <w:keepLines w:val="0"/>
      <w:numPr>
        <w:ilvl w:val="0"/>
        <w:numId w:val="0"/>
      </w:numPr>
      <w:tabs>
        <w:tab w:val="start" w:pos="113.40pt"/>
        <w:tab w:val="start" w:pos="134.70pt"/>
      </w:tabs>
      <w:overflowPunct/>
      <w:autoSpaceDE/>
      <w:autoSpaceDN/>
      <w:adjustRightInd/>
      <w:spacing w:before="0pt" w:after="0pt"/>
      <w:ind w:start="28.35pt"/>
      <w:textAlignment w:val="auto"/>
    </w:pPr>
    <w:rPr>
      <w:rFonts w:eastAsia="PMingLiU" w:cs="Arial"/>
      <w:b/>
      <w:sz w:val="20"/>
      <w:lang w:eastAsia="en-US"/>
    </w:rPr>
  </w:style>
  <w:style w:type="paragraph" w:customStyle="1" w:styleId="CRCoverPage">
    <w:name w:val="CR Cover Page"/>
    <w:link w:val="CRCoverPageZchn"/>
    <w:rsid w:val="003C150E"/>
    <w:pPr>
      <w:spacing w:after="6pt"/>
    </w:pPr>
    <w:rPr>
      <w:rFonts w:ascii="Arial" w:eastAsia="MS Mincho" w:hAnsi="Arial"/>
      <w:lang w:val="en-GB"/>
    </w:rPr>
  </w:style>
  <w:style w:type="character" w:customStyle="1" w:styleId="CRCoverPageZchn">
    <w:name w:val="CR Cover Page Zchn"/>
    <w:link w:val="CRCoverPage"/>
    <w:rsid w:val="003C150E"/>
    <w:rPr>
      <w:rFonts w:ascii="Arial" w:eastAsia="MS Mincho" w:hAnsi="Arial"/>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1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7326527">
          <w:marLeft w:val="58.30pt"/>
          <w:marRight w:val="0pt"/>
          <w:marTop w:val="4.30pt"/>
          <w:marBottom w:val="0pt"/>
          <w:divBdr>
            <w:top w:val="none" w:sz="0" w:space="0" w:color="auto"/>
            <w:left w:val="none" w:sz="0" w:space="0" w:color="auto"/>
            <w:bottom w:val="none" w:sz="0" w:space="0" w:color="auto"/>
            <w:right w:val="none" w:sz="0" w:space="0" w:color="auto"/>
          </w:divBdr>
        </w:div>
        <w:div w:id="498884054">
          <w:marLeft w:val="58.30pt"/>
          <w:marRight w:val="0pt"/>
          <w:marTop w:val="4.30pt"/>
          <w:marBottom w:val="0pt"/>
          <w:divBdr>
            <w:top w:val="none" w:sz="0" w:space="0" w:color="auto"/>
            <w:left w:val="none" w:sz="0" w:space="0" w:color="auto"/>
            <w:bottom w:val="none" w:sz="0" w:space="0" w:color="auto"/>
            <w:right w:val="none" w:sz="0" w:space="0" w:color="auto"/>
          </w:divBdr>
        </w:div>
        <w:div w:id="625620409">
          <w:marLeft w:val="58.30pt"/>
          <w:marRight w:val="0pt"/>
          <w:marTop w:val="4.30pt"/>
          <w:marBottom w:val="0pt"/>
          <w:divBdr>
            <w:top w:val="none" w:sz="0" w:space="0" w:color="auto"/>
            <w:left w:val="none" w:sz="0" w:space="0" w:color="auto"/>
            <w:bottom w:val="none" w:sz="0" w:space="0" w:color="auto"/>
            <w:right w:val="none" w:sz="0" w:space="0" w:color="auto"/>
          </w:divBdr>
        </w:div>
        <w:div w:id="627855159">
          <w:marLeft w:val="58.30pt"/>
          <w:marRight w:val="0pt"/>
          <w:marTop w:val="4.30pt"/>
          <w:marBottom w:val="0pt"/>
          <w:divBdr>
            <w:top w:val="none" w:sz="0" w:space="0" w:color="auto"/>
            <w:left w:val="none" w:sz="0" w:space="0" w:color="auto"/>
            <w:bottom w:val="none" w:sz="0" w:space="0" w:color="auto"/>
            <w:right w:val="none" w:sz="0" w:space="0" w:color="auto"/>
          </w:divBdr>
        </w:div>
        <w:div w:id="868223002">
          <w:marLeft w:val="27.35pt"/>
          <w:marRight w:val="0pt"/>
          <w:marTop w:val="4.80pt"/>
          <w:marBottom w:val="0pt"/>
          <w:divBdr>
            <w:top w:val="none" w:sz="0" w:space="0" w:color="auto"/>
            <w:left w:val="none" w:sz="0" w:space="0" w:color="auto"/>
            <w:bottom w:val="none" w:sz="0" w:space="0" w:color="auto"/>
            <w:right w:val="none" w:sz="0" w:space="0" w:color="auto"/>
          </w:divBdr>
        </w:div>
        <w:div w:id="1029840714">
          <w:marLeft w:val="58.30pt"/>
          <w:marRight w:val="0pt"/>
          <w:marTop w:val="4.30pt"/>
          <w:marBottom w:val="0pt"/>
          <w:divBdr>
            <w:top w:val="none" w:sz="0" w:space="0" w:color="auto"/>
            <w:left w:val="none" w:sz="0" w:space="0" w:color="auto"/>
            <w:bottom w:val="none" w:sz="0" w:space="0" w:color="auto"/>
            <w:right w:val="none" w:sz="0" w:space="0" w:color="auto"/>
          </w:divBdr>
        </w:div>
        <w:div w:id="1469857029">
          <w:marLeft w:val="58.30pt"/>
          <w:marRight w:val="0pt"/>
          <w:marTop w:val="4.30pt"/>
          <w:marBottom w:val="0pt"/>
          <w:divBdr>
            <w:top w:val="none" w:sz="0" w:space="0" w:color="auto"/>
            <w:left w:val="none" w:sz="0" w:space="0" w:color="auto"/>
            <w:bottom w:val="none" w:sz="0" w:space="0" w:color="auto"/>
            <w:right w:val="none" w:sz="0" w:space="0" w:color="auto"/>
          </w:divBdr>
        </w:div>
        <w:div w:id="1706373258">
          <w:marLeft w:val="58.30pt"/>
          <w:marRight w:val="0pt"/>
          <w:marTop w:val="4.30pt"/>
          <w:marBottom w:val="0pt"/>
          <w:divBdr>
            <w:top w:val="none" w:sz="0" w:space="0" w:color="auto"/>
            <w:left w:val="none" w:sz="0" w:space="0" w:color="auto"/>
            <w:bottom w:val="none" w:sz="0" w:space="0" w:color="auto"/>
            <w:right w:val="none" w:sz="0" w:space="0" w:color="auto"/>
          </w:divBdr>
        </w:div>
        <w:div w:id="1706757148">
          <w:marLeft w:val="27.35pt"/>
          <w:marRight w:val="0pt"/>
          <w:marTop w:val="4.80pt"/>
          <w:marBottom w:val="0pt"/>
          <w:divBdr>
            <w:top w:val="none" w:sz="0" w:space="0" w:color="auto"/>
            <w:left w:val="none" w:sz="0" w:space="0" w:color="auto"/>
            <w:bottom w:val="none" w:sz="0" w:space="0" w:color="auto"/>
            <w:right w:val="none" w:sz="0" w:space="0" w:color="auto"/>
          </w:divBdr>
        </w:div>
        <w:div w:id="1718898647">
          <w:marLeft w:val="58.30pt"/>
          <w:marRight w:val="0pt"/>
          <w:marTop w:val="4.30pt"/>
          <w:marBottom w:val="0pt"/>
          <w:divBdr>
            <w:top w:val="none" w:sz="0" w:space="0" w:color="auto"/>
            <w:left w:val="none" w:sz="0" w:space="0" w:color="auto"/>
            <w:bottom w:val="none" w:sz="0" w:space="0" w:color="auto"/>
            <w:right w:val="none" w:sz="0" w:space="0" w:color="auto"/>
          </w:divBdr>
        </w:div>
        <w:div w:id="1918395119">
          <w:marLeft w:val="58.30pt"/>
          <w:marRight w:val="0pt"/>
          <w:marTop w:val="4.30pt"/>
          <w:marBottom w:val="0pt"/>
          <w:divBdr>
            <w:top w:val="none" w:sz="0" w:space="0" w:color="auto"/>
            <w:left w:val="none" w:sz="0" w:space="0" w:color="auto"/>
            <w:bottom w:val="none" w:sz="0" w:space="0" w:color="auto"/>
            <w:right w:val="none" w:sz="0" w:space="0" w:color="auto"/>
          </w:divBdr>
        </w:div>
        <w:div w:id="2011134842">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25241724">
      <w:bodyDiv w:val="1"/>
      <w:marLeft w:val="0pt"/>
      <w:marRight w:val="0pt"/>
      <w:marTop w:val="0pt"/>
      <w:marBottom w:val="0pt"/>
      <w:divBdr>
        <w:top w:val="none" w:sz="0" w:space="0" w:color="auto"/>
        <w:left w:val="none" w:sz="0" w:space="0" w:color="auto"/>
        <w:bottom w:val="none" w:sz="0" w:space="0" w:color="auto"/>
        <w:right w:val="none" w:sz="0" w:space="0" w:color="auto"/>
      </w:divBdr>
    </w:div>
    <w:div w:id="132143810">
      <w:bodyDiv w:val="1"/>
      <w:marLeft w:val="0pt"/>
      <w:marRight w:val="0pt"/>
      <w:marTop w:val="0pt"/>
      <w:marBottom w:val="0pt"/>
      <w:divBdr>
        <w:top w:val="none" w:sz="0" w:space="0" w:color="auto"/>
        <w:left w:val="none" w:sz="0" w:space="0" w:color="auto"/>
        <w:bottom w:val="none" w:sz="0" w:space="0" w:color="auto"/>
        <w:right w:val="none" w:sz="0" w:space="0" w:color="auto"/>
      </w:divBdr>
    </w:div>
    <w:div w:id="1373779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2571302">
          <w:marLeft w:val="10.80pt"/>
          <w:marRight w:val="0pt"/>
          <w:marTop w:val="12pt"/>
          <w:marBottom w:val="0pt"/>
          <w:divBdr>
            <w:top w:val="none" w:sz="0" w:space="0" w:color="auto"/>
            <w:left w:val="none" w:sz="0" w:space="0" w:color="auto"/>
            <w:bottom w:val="none" w:sz="0" w:space="0" w:color="auto"/>
            <w:right w:val="none" w:sz="0" w:space="0" w:color="auto"/>
          </w:divBdr>
        </w:div>
      </w:divsChild>
    </w:div>
    <w:div w:id="182984761">
      <w:bodyDiv w:val="1"/>
      <w:marLeft w:val="0pt"/>
      <w:marRight w:val="0pt"/>
      <w:marTop w:val="0pt"/>
      <w:marBottom w:val="0pt"/>
      <w:divBdr>
        <w:top w:val="none" w:sz="0" w:space="0" w:color="auto"/>
        <w:left w:val="none" w:sz="0" w:space="0" w:color="auto"/>
        <w:bottom w:val="none" w:sz="0" w:space="0" w:color="auto"/>
        <w:right w:val="none" w:sz="0" w:space="0" w:color="auto"/>
      </w:divBdr>
    </w:div>
    <w:div w:id="207764693">
      <w:bodyDiv w:val="1"/>
      <w:marLeft w:val="0pt"/>
      <w:marRight w:val="0pt"/>
      <w:marTop w:val="0pt"/>
      <w:marBottom w:val="0pt"/>
      <w:divBdr>
        <w:top w:val="none" w:sz="0" w:space="0" w:color="auto"/>
        <w:left w:val="none" w:sz="0" w:space="0" w:color="auto"/>
        <w:bottom w:val="none" w:sz="0" w:space="0" w:color="auto"/>
        <w:right w:val="none" w:sz="0" w:space="0" w:color="auto"/>
      </w:divBdr>
    </w:div>
    <w:div w:id="244729225">
      <w:bodyDiv w:val="1"/>
      <w:marLeft w:val="0pt"/>
      <w:marRight w:val="0pt"/>
      <w:marTop w:val="0pt"/>
      <w:marBottom w:val="0pt"/>
      <w:divBdr>
        <w:top w:val="none" w:sz="0" w:space="0" w:color="auto"/>
        <w:left w:val="none" w:sz="0" w:space="0" w:color="auto"/>
        <w:bottom w:val="none" w:sz="0" w:space="0" w:color="auto"/>
        <w:right w:val="none" w:sz="0" w:space="0" w:color="auto"/>
      </w:divBdr>
    </w:div>
    <w:div w:id="246620700">
      <w:bodyDiv w:val="1"/>
      <w:marLeft w:val="0pt"/>
      <w:marRight w:val="0pt"/>
      <w:marTop w:val="0pt"/>
      <w:marBottom w:val="0pt"/>
      <w:divBdr>
        <w:top w:val="none" w:sz="0" w:space="0" w:color="auto"/>
        <w:left w:val="none" w:sz="0" w:space="0" w:color="auto"/>
        <w:bottom w:val="none" w:sz="0" w:space="0" w:color="auto"/>
        <w:right w:val="none" w:sz="0" w:space="0" w:color="auto"/>
      </w:divBdr>
    </w:div>
    <w:div w:id="274481020">
      <w:bodyDiv w:val="1"/>
      <w:marLeft w:val="0pt"/>
      <w:marRight w:val="0pt"/>
      <w:marTop w:val="0pt"/>
      <w:marBottom w:val="0pt"/>
      <w:divBdr>
        <w:top w:val="none" w:sz="0" w:space="0" w:color="auto"/>
        <w:left w:val="none" w:sz="0" w:space="0" w:color="auto"/>
        <w:bottom w:val="none" w:sz="0" w:space="0" w:color="auto"/>
        <w:right w:val="none" w:sz="0" w:space="0" w:color="auto"/>
      </w:divBdr>
    </w:div>
    <w:div w:id="324667874">
      <w:bodyDiv w:val="1"/>
      <w:marLeft w:val="0pt"/>
      <w:marRight w:val="0pt"/>
      <w:marTop w:val="0pt"/>
      <w:marBottom w:val="0pt"/>
      <w:divBdr>
        <w:top w:val="none" w:sz="0" w:space="0" w:color="auto"/>
        <w:left w:val="none" w:sz="0" w:space="0" w:color="auto"/>
        <w:bottom w:val="none" w:sz="0" w:space="0" w:color="auto"/>
        <w:right w:val="none" w:sz="0" w:space="0" w:color="auto"/>
      </w:divBdr>
    </w:div>
    <w:div w:id="420105433">
      <w:bodyDiv w:val="1"/>
      <w:marLeft w:val="0pt"/>
      <w:marRight w:val="0pt"/>
      <w:marTop w:val="0pt"/>
      <w:marBottom w:val="0pt"/>
      <w:divBdr>
        <w:top w:val="none" w:sz="0" w:space="0" w:color="auto"/>
        <w:left w:val="none" w:sz="0" w:space="0" w:color="auto"/>
        <w:bottom w:val="none" w:sz="0" w:space="0" w:color="auto"/>
        <w:right w:val="none" w:sz="0" w:space="0" w:color="auto"/>
      </w:divBdr>
    </w:div>
    <w:div w:id="448352057">
      <w:bodyDiv w:val="1"/>
      <w:marLeft w:val="0pt"/>
      <w:marRight w:val="0pt"/>
      <w:marTop w:val="0pt"/>
      <w:marBottom w:val="0pt"/>
      <w:divBdr>
        <w:top w:val="none" w:sz="0" w:space="0" w:color="auto"/>
        <w:left w:val="none" w:sz="0" w:space="0" w:color="auto"/>
        <w:bottom w:val="none" w:sz="0" w:space="0" w:color="auto"/>
        <w:right w:val="none" w:sz="0" w:space="0" w:color="auto"/>
      </w:divBdr>
    </w:div>
    <w:div w:id="462579273">
      <w:bodyDiv w:val="1"/>
      <w:marLeft w:val="0pt"/>
      <w:marRight w:val="0pt"/>
      <w:marTop w:val="0pt"/>
      <w:marBottom w:val="0pt"/>
      <w:divBdr>
        <w:top w:val="none" w:sz="0" w:space="0" w:color="auto"/>
        <w:left w:val="none" w:sz="0" w:space="0" w:color="auto"/>
        <w:bottom w:val="none" w:sz="0" w:space="0" w:color="auto"/>
        <w:right w:val="none" w:sz="0" w:space="0" w:color="auto"/>
      </w:divBdr>
    </w:div>
    <w:div w:id="470169978">
      <w:bodyDiv w:val="1"/>
      <w:marLeft w:val="0pt"/>
      <w:marRight w:val="0pt"/>
      <w:marTop w:val="0pt"/>
      <w:marBottom w:val="0pt"/>
      <w:divBdr>
        <w:top w:val="none" w:sz="0" w:space="0" w:color="auto"/>
        <w:left w:val="none" w:sz="0" w:space="0" w:color="auto"/>
        <w:bottom w:val="none" w:sz="0" w:space="0" w:color="auto"/>
        <w:right w:val="none" w:sz="0" w:space="0" w:color="auto"/>
      </w:divBdr>
    </w:div>
    <w:div w:id="5662315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898295">
          <w:marLeft w:val="10.80pt"/>
          <w:marRight w:val="0pt"/>
          <w:marTop w:val="12pt"/>
          <w:marBottom w:val="0pt"/>
          <w:divBdr>
            <w:top w:val="none" w:sz="0" w:space="0" w:color="auto"/>
            <w:left w:val="none" w:sz="0" w:space="0" w:color="auto"/>
            <w:bottom w:val="none" w:sz="0" w:space="0" w:color="auto"/>
            <w:right w:val="none" w:sz="0" w:space="0" w:color="auto"/>
          </w:divBdr>
        </w:div>
      </w:divsChild>
    </w:div>
    <w:div w:id="573899143">
      <w:bodyDiv w:val="1"/>
      <w:marLeft w:val="0pt"/>
      <w:marRight w:val="0pt"/>
      <w:marTop w:val="0pt"/>
      <w:marBottom w:val="0pt"/>
      <w:divBdr>
        <w:top w:val="none" w:sz="0" w:space="0" w:color="auto"/>
        <w:left w:val="none" w:sz="0" w:space="0" w:color="auto"/>
        <w:bottom w:val="none" w:sz="0" w:space="0" w:color="auto"/>
        <w:right w:val="none" w:sz="0" w:space="0" w:color="auto"/>
      </w:divBdr>
    </w:div>
    <w:div w:id="658654418">
      <w:bodyDiv w:val="1"/>
      <w:marLeft w:val="0pt"/>
      <w:marRight w:val="0pt"/>
      <w:marTop w:val="0pt"/>
      <w:marBottom w:val="0pt"/>
      <w:divBdr>
        <w:top w:val="none" w:sz="0" w:space="0" w:color="auto"/>
        <w:left w:val="none" w:sz="0" w:space="0" w:color="auto"/>
        <w:bottom w:val="none" w:sz="0" w:space="0" w:color="auto"/>
        <w:right w:val="none" w:sz="0" w:space="0" w:color="auto"/>
      </w:divBdr>
    </w:div>
    <w:div w:id="676034249">
      <w:bodyDiv w:val="1"/>
      <w:marLeft w:val="0pt"/>
      <w:marRight w:val="0pt"/>
      <w:marTop w:val="0pt"/>
      <w:marBottom w:val="0pt"/>
      <w:divBdr>
        <w:top w:val="none" w:sz="0" w:space="0" w:color="auto"/>
        <w:left w:val="none" w:sz="0" w:space="0" w:color="auto"/>
        <w:bottom w:val="none" w:sz="0" w:space="0" w:color="auto"/>
        <w:right w:val="none" w:sz="0" w:space="0" w:color="auto"/>
      </w:divBdr>
    </w:div>
    <w:div w:id="743140151">
      <w:bodyDiv w:val="1"/>
      <w:marLeft w:val="0pt"/>
      <w:marRight w:val="0pt"/>
      <w:marTop w:val="0pt"/>
      <w:marBottom w:val="0pt"/>
      <w:divBdr>
        <w:top w:val="none" w:sz="0" w:space="0" w:color="auto"/>
        <w:left w:val="none" w:sz="0" w:space="0" w:color="auto"/>
        <w:bottom w:val="none" w:sz="0" w:space="0" w:color="auto"/>
        <w:right w:val="none" w:sz="0" w:space="0" w:color="auto"/>
      </w:divBdr>
    </w:div>
    <w:div w:id="794250670">
      <w:bodyDiv w:val="1"/>
      <w:marLeft w:val="0pt"/>
      <w:marRight w:val="0pt"/>
      <w:marTop w:val="0pt"/>
      <w:marBottom w:val="0pt"/>
      <w:divBdr>
        <w:top w:val="none" w:sz="0" w:space="0" w:color="auto"/>
        <w:left w:val="none" w:sz="0" w:space="0" w:color="auto"/>
        <w:bottom w:val="none" w:sz="0" w:space="0" w:color="auto"/>
        <w:right w:val="none" w:sz="0" w:space="0" w:color="auto"/>
      </w:divBdr>
    </w:div>
    <w:div w:id="856386314">
      <w:bodyDiv w:val="1"/>
      <w:marLeft w:val="0pt"/>
      <w:marRight w:val="0pt"/>
      <w:marTop w:val="0pt"/>
      <w:marBottom w:val="0pt"/>
      <w:divBdr>
        <w:top w:val="none" w:sz="0" w:space="0" w:color="auto"/>
        <w:left w:val="none" w:sz="0" w:space="0" w:color="auto"/>
        <w:bottom w:val="none" w:sz="0" w:space="0" w:color="auto"/>
        <w:right w:val="none" w:sz="0" w:space="0" w:color="auto"/>
      </w:divBdr>
    </w:div>
    <w:div w:id="889920203">
      <w:bodyDiv w:val="1"/>
      <w:marLeft w:val="0pt"/>
      <w:marRight w:val="0pt"/>
      <w:marTop w:val="0pt"/>
      <w:marBottom w:val="0pt"/>
      <w:divBdr>
        <w:top w:val="none" w:sz="0" w:space="0" w:color="auto"/>
        <w:left w:val="none" w:sz="0" w:space="0" w:color="auto"/>
        <w:bottom w:val="none" w:sz="0" w:space="0" w:color="auto"/>
        <w:right w:val="none" w:sz="0" w:space="0" w:color="auto"/>
      </w:divBdr>
    </w:div>
    <w:div w:id="937641512">
      <w:bodyDiv w:val="1"/>
      <w:marLeft w:val="0pt"/>
      <w:marRight w:val="0pt"/>
      <w:marTop w:val="0pt"/>
      <w:marBottom w:val="0pt"/>
      <w:divBdr>
        <w:top w:val="none" w:sz="0" w:space="0" w:color="auto"/>
        <w:left w:val="none" w:sz="0" w:space="0" w:color="auto"/>
        <w:bottom w:val="none" w:sz="0" w:space="0" w:color="auto"/>
        <w:right w:val="none" w:sz="0" w:space="0" w:color="auto"/>
      </w:divBdr>
    </w:div>
    <w:div w:id="941717851">
      <w:bodyDiv w:val="1"/>
      <w:marLeft w:val="0pt"/>
      <w:marRight w:val="0pt"/>
      <w:marTop w:val="0pt"/>
      <w:marBottom w:val="0pt"/>
      <w:divBdr>
        <w:top w:val="none" w:sz="0" w:space="0" w:color="auto"/>
        <w:left w:val="none" w:sz="0" w:space="0" w:color="auto"/>
        <w:bottom w:val="none" w:sz="0" w:space="0" w:color="auto"/>
        <w:right w:val="none" w:sz="0" w:space="0" w:color="auto"/>
      </w:divBdr>
    </w:div>
    <w:div w:id="958150482">
      <w:bodyDiv w:val="1"/>
      <w:marLeft w:val="0pt"/>
      <w:marRight w:val="0pt"/>
      <w:marTop w:val="0pt"/>
      <w:marBottom w:val="0pt"/>
      <w:divBdr>
        <w:top w:val="none" w:sz="0" w:space="0" w:color="auto"/>
        <w:left w:val="none" w:sz="0" w:space="0" w:color="auto"/>
        <w:bottom w:val="none" w:sz="0" w:space="0" w:color="auto"/>
        <w:right w:val="none" w:sz="0" w:space="0" w:color="auto"/>
      </w:divBdr>
    </w:div>
    <w:div w:id="965351054">
      <w:bodyDiv w:val="1"/>
      <w:marLeft w:val="0pt"/>
      <w:marRight w:val="0pt"/>
      <w:marTop w:val="0pt"/>
      <w:marBottom w:val="0pt"/>
      <w:divBdr>
        <w:top w:val="none" w:sz="0" w:space="0" w:color="auto"/>
        <w:left w:val="none" w:sz="0" w:space="0" w:color="auto"/>
        <w:bottom w:val="none" w:sz="0" w:space="0" w:color="auto"/>
        <w:right w:val="none" w:sz="0" w:space="0" w:color="auto"/>
      </w:divBdr>
    </w:div>
    <w:div w:id="974529369">
      <w:bodyDiv w:val="1"/>
      <w:marLeft w:val="0pt"/>
      <w:marRight w:val="0pt"/>
      <w:marTop w:val="0pt"/>
      <w:marBottom w:val="0pt"/>
      <w:divBdr>
        <w:top w:val="none" w:sz="0" w:space="0" w:color="auto"/>
        <w:left w:val="none" w:sz="0" w:space="0" w:color="auto"/>
        <w:bottom w:val="none" w:sz="0" w:space="0" w:color="auto"/>
        <w:right w:val="none" w:sz="0" w:space="0" w:color="auto"/>
      </w:divBdr>
    </w:div>
    <w:div w:id="1009329858">
      <w:bodyDiv w:val="1"/>
      <w:marLeft w:val="0pt"/>
      <w:marRight w:val="0pt"/>
      <w:marTop w:val="0pt"/>
      <w:marBottom w:val="0pt"/>
      <w:divBdr>
        <w:top w:val="none" w:sz="0" w:space="0" w:color="auto"/>
        <w:left w:val="none" w:sz="0" w:space="0" w:color="auto"/>
        <w:bottom w:val="none" w:sz="0" w:space="0" w:color="auto"/>
        <w:right w:val="none" w:sz="0" w:space="0" w:color="auto"/>
      </w:divBdr>
    </w:div>
    <w:div w:id="1027294657">
      <w:bodyDiv w:val="1"/>
      <w:marLeft w:val="0pt"/>
      <w:marRight w:val="0pt"/>
      <w:marTop w:val="0pt"/>
      <w:marBottom w:val="0pt"/>
      <w:divBdr>
        <w:top w:val="none" w:sz="0" w:space="0" w:color="auto"/>
        <w:left w:val="none" w:sz="0" w:space="0" w:color="auto"/>
        <w:bottom w:val="none" w:sz="0" w:space="0" w:color="auto"/>
        <w:right w:val="none" w:sz="0" w:space="0" w:color="auto"/>
      </w:divBdr>
    </w:div>
    <w:div w:id="1031996724">
      <w:bodyDiv w:val="1"/>
      <w:marLeft w:val="0pt"/>
      <w:marRight w:val="0pt"/>
      <w:marTop w:val="0pt"/>
      <w:marBottom w:val="0pt"/>
      <w:divBdr>
        <w:top w:val="none" w:sz="0" w:space="0" w:color="auto"/>
        <w:left w:val="none" w:sz="0" w:space="0" w:color="auto"/>
        <w:bottom w:val="none" w:sz="0" w:space="0" w:color="auto"/>
        <w:right w:val="none" w:sz="0" w:space="0" w:color="auto"/>
      </w:divBdr>
    </w:div>
    <w:div w:id="1066103389">
      <w:bodyDiv w:val="1"/>
      <w:marLeft w:val="0pt"/>
      <w:marRight w:val="0pt"/>
      <w:marTop w:val="0pt"/>
      <w:marBottom w:val="0pt"/>
      <w:divBdr>
        <w:top w:val="none" w:sz="0" w:space="0" w:color="auto"/>
        <w:left w:val="none" w:sz="0" w:space="0" w:color="auto"/>
        <w:bottom w:val="none" w:sz="0" w:space="0" w:color="auto"/>
        <w:right w:val="none" w:sz="0" w:space="0" w:color="auto"/>
      </w:divBdr>
    </w:div>
    <w:div w:id="1103299897">
      <w:bodyDiv w:val="1"/>
      <w:marLeft w:val="0pt"/>
      <w:marRight w:val="0pt"/>
      <w:marTop w:val="0pt"/>
      <w:marBottom w:val="0pt"/>
      <w:divBdr>
        <w:top w:val="none" w:sz="0" w:space="0" w:color="auto"/>
        <w:left w:val="none" w:sz="0" w:space="0" w:color="auto"/>
        <w:bottom w:val="none" w:sz="0" w:space="0" w:color="auto"/>
        <w:right w:val="none" w:sz="0" w:space="0" w:color="auto"/>
      </w:divBdr>
    </w:div>
    <w:div w:id="1126122320">
      <w:bodyDiv w:val="1"/>
      <w:marLeft w:val="0pt"/>
      <w:marRight w:val="0pt"/>
      <w:marTop w:val="0pt"/>
      <w:marBottom w:val="0pt"/>
      <w:divBdr>
        <w:top w:val="none" w:sz="0" w:space="0" w:color="auto"/>
        <w:left w:val="none" w:sz="0" w:space="0" w:color="auto"/>
        <w:bottom w:val="none" w:sz="0" w:space="0" w:color="auto"/>
        <w:right w:val="none" w:sz="0" w:space="0" w:color="auto"/>
      </w:divBdr>
    </w:div>
    <w:div w:id="1132408488">
      <w:bodyDiv w:val="1"/>
      <w:marLeft w:val="0pt"/>
      <w:marRight w:val="0pt"/>
      <w:marTop w:val="0pt"/>
      <w:marBottom w:val="0pt"/>
      <w:divBdr>
        <w:top w:val="none" w:sz="0" w:space="0" w:color="auto"/>
        <w:left w:val="none" w:sz="0" w:space="0" w:color="auto"/>
        <w:bottom w:val="none" w:sz="0" w:space="0" w:color="auto"/>
        <w:right w:val="none" w:sz="0" w:space="0" w:color="auto"/>
      </w:divBdr>
    </w:div>
    <w:div w:id="1146162975">
      <w:bodyDiv w:val="1"/>
      <w:marLeft w:val="0pt"/>
      <w:marRight w:val="0pt"/>
      <w:marTop w:val="0pt"/>
      <w:marBottom w:val="0pt"/>
      <w:divBdr>
        <w:top w:val="none" w:sz="0" w:space="0" w:color="auto"/>
        <w:left w:val="none" w:sz="0" w:space="0" w:color="auto"/>
        <w:bottom w:val="none" w:sz="0" w:space="0" w:color="auto"/>
        <w:right w:val="none" w:sz="0" w:space="0" w:color="auto"/>
      </w:divBdr>
    </w:div>
    <w:div w:id="1164934495">
      <w:bodyDiv w:val="1"/>
      <w:marLeft w:val="0pt"/>
      <w:marRight w:val="0pt"/>
      <w:marTop w:val="0pt"/>
      <w:marBottom w:val="0pt"/>
      <w:divBdr>
        <w:top w:val="none" w:sz="0" w:space="0" w:color="auto"/>
        <w:left w:val="none" w:sz="0" w:space="0" w:color="auto"/>
        <w:bottom w:val="none" w:sz="0" w:space="0" w:color="auto"/>
        <w:right w:val="none" w:sz="0" w:space="0" w:color="auto"/>
      </w:divBdr>
    </w:div>
    <w:div w:id="1175460458">
      <w:bodyDiv w:val="1"/>
      <w:marLeft w:val="0pt"/>
      <w:marRight w:val="0pt"/>
      <w:marTop w:val="0pt"/>
      <w:marBottom w:val="0pt"/>
      <w:divBdr>
        <w:top w:val="none" w:sz="0" w:space="0" w:color="auto"/>
        <w:left w:val="none" w:sz="0" w:space="0" w:color="auto"/>
        <w:bottom w:val="none" w:sz="0" w:space="0" w:color="auto"/>
        <w:right w:val="none" w:sz="0" w:space="0" w:color="auto"/>
      </w:divBdr>
    </w:div>
    <w:div w:id="1180852559">
      <w:bodyDiv w:val="1"/>
      <w:marLeft w:val="0pt"/>
      <w:marRight w:val="0pt"/>
      <w:marTop w:val="0pt"/>
      <w:marBottom w:val="0pt"/>
      <w:divBdr>
        <w:top w:val="none" w:sz="0" w:space="0" w:color="auto"/>
        <w:left w:val="none" w:sz="0" w:space="0" w:color="auto"/>
        <w:bottom w:val="none" w:sz="0" w:space="0" w:color="auto"/>
        <w:right w:val="none" w:sz="0" w:space="0" w:color="auto"/>
      </w:divBdr>
    </w:div>
    <w:div w:id="1186670982">
      <w:bodyDiv w:val="1"/>
      <w:marLeft w:val="0pt"/>
      <w:marRight w:val="0pt"/>
      <w:marTop w:val="0pt"/>
      <w:marBottom w:val="0pt"/>
      <w:divBdr>
        <w:top w:val="none" w:sz="0" w:space="0" w:color="auto"/>
        <w:left w:val="none" w:sz="0" w:space="0" w:color="auto"/>
        <w:bottom w:val="none" w:sz="0" w:space="0" w:color="auto"/>
        <w:right w:val="none" w:sz="0" w:space="0" w:color="auto"/>
      </w:divBdr>
    </w:div>
    <w:div w:id="1216236395">
      <w:bodyDiv w:val="1"/>
      <w:marLeft w:val="0pt"/>
      <w:marRight w:val="0pt"/>
      <w:marTop w:val="0pt"/>
      <w:marBottom w:val="0pt"/>
      <w:divBdr>
        <w:top w:val="none" w:sz="0" w:space="0" w:color="auto"/>
        <w:left w:val="none" w:sz="0" w:space="0" w:color="auto"/>
        <w:bottom w:val="none" w:sz="0" w:space="0" w:color="auto"/>
        <w:right w:val="none" w:sz="0" w:space="0" w:color="auto"/>
      </w:divBdr>
    </w:div>
    <w:div w:id="1247108678">
      <w:bodyDiv w:val="1"/>
      <w:marLeft w:val="0pt"/>
      <w:marRight w:val="0pt"/>
      <w:marTop w:val="0pt"/>
      <w:marBottom w:val="0pt"/>
      <w:divBdr>
        <w:top w:val="none" w:sz="0" w:space="0" w:color="auto"/>
        <w:left w:val="none" w:sz="0" w:space="0" w:color="auto"/>
        <w:bottom w:val="none" w:sz="0" w:space="0" w:color="auto"/>
        <w:right w:val="none" w:sz="0" w:space="0" w:color="auto"/>
      </w:divBdr>
    </w:div>
    <w:div w:id="1278104209">
      <w:bodyDiv w:val="1"/>
      <w:marLeft w:val="0pt"/>
      <w:marRight w:val="0pt"/>
      <w:marTop w:val="0pt"/>
      <w:marBottom w:val="0pt"/>
      <w:divBdr>
        <w:top w:val="none" w:sz="0" w:space="0" w:color="auto"/>
        <w:left w:val="none" w:sz="0" w:space="0" w:color="auto"/>
        <w:bottom w:val="none" w:sz="0" w:space="0" w:color="auto"/>
        <w:right w:val="none" w:sz="0" w:space="0" w:color="auto"/>
      </w:divBdr>
    </w:div>
    <w:div w:id="1344236358">
      <w:bodyDiv w:val="1"/>
      <w:marLeft w:val="0pt"/>
      <w:marRight w:val="0pt"/>
      <w:marTop w:val="0pt"/>
      <w:marBottom w:val="0pt"/>
      <w:divBdr>
        <w:top w:val="none" w:sz="0" w:space="0" w:color="auto"/>
        <w:left w:val="none" w:sz="0" w:space="0" w:color="auto"/>
        <w:bottom w:val="none" w:sz="0" w:space="0" w:color="auto"/>
        <w:right w:val="none" w:sz="0" w:space="0" w:color="auto"/>
      </w:divBdr>
    </w:div>
    <w:div w:id="1348605039">
      <w:bodyDiv w:val="1"/>
      <w:marLeft w:val="0pt"/>
      <w:marRight w:val="0pt"/>
      <w:marTop w:val="0pt"/>
      <w:marBottom w:val="0pt"/>
      <w:divBdr>
        <w:top w:val="none" w:sz="0" w:space="0" w:color="auto"/>
        <w:left w:val="none" w:sz="0" w:space="0" w:color="auto"/>
        <w:bottom w:val="none" w:sz="0" w:space="0" w:color="auto"/>
        <w:right w:val="none" w:sz="0" w:space="0" w:color="auto"/>
      </w:divBdr>
    </w:div>
    <w:div w:id="1359352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8827741">
          <w:marLeft w:val="58.30pt"/>
          <w:marRight w:val="0pt"/>
          <w:marTop w:val="4.80pt"/>
          <w:marBottom w:val="0pt"/>
          <w:divBdr>
            <w:top w:val="none" w:sz="0" w:space="0" w:color="auto"/>
            <w:left w:val="none" w:sz="0" w:space="0" w:color="auto"/>
            <w:bottom w:val="none" w:sz="0" w:space="0" w:color="auto"/>
            <w:right w:val="none" w:sz="0" w:space="0" w:color="auto"/>
          </w:divBdr>
        </w:div>
        <w:div w:id="1636637773">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78747937">
      <w:bodyDiv w:val="1"/>
      <w:marLeft w:val="0pt"/>
      <w:marRight w:val="0pt"/>
      <w:marTop w:val="0pt"/>
      <w:marBottom w:val="0pt"/>
      <w:divBdr>
        <w:top w:val="none" w:sz="0" w:space="0" w:color="auto"/>
        <w:left w:val="none" w:sz="0" w:space="0" w:color="auto"/>
        <w:bottom w:val="none" w:sz="0" w:space="0" w:color="auto"/>
        <w:right w:val="none" w:sz="0" w:space="0" w:color="auto"/>
      </w:divBdr>
    </w:div>
    <w:div w:id="1436247535">
      <w:bodyDiv w:val="1"/>
      <w:marLeft w:val="0pt"/>
      <w:marRight w:val="0pt"/>
      <w:marTop w:val="0pt"/>
      <w:marBottom w:val="0pt"/>
      <w:divBdr>
        <w:top w:val="none" w:sz="0" w:space="0" w:color="auto"/>
        <w:left w:val="none" w:sz="0" w:space="0" w:color="auto"/>
        <w:bottom w:val="none" w:sz="0" w:space="0" w:color="auto"/>
        <w:right w:val="none" w:sz="0" w:space="0" w:color="auto"/>
      </w:divBdr>
    </w:div>
    <w:div w:id="1457334511">
      <w:bodyDiv w:val="1"/>
      <w:marLeft w:val="0pt"/>
      <w:marRight w:val="0pt"/>
      <w:marTop w:val="0pt"/>
      <w:marBottom w:val="0pt"/>
      <w:divBdr>
        <w:top w:val="none" w:sz="0" w:space="0" w:color="auto"/>
        <w:left w:val="none" w:sz="0" w:space="0" w:color="auto"/>
        <w:bottom w:val="none" w:sz="0" w:space="0" w:color="auto"/>
        <w:right w:val="none" w:sz="0" w:space="0" w:color="auto"/>
      </w:divBdr>
    </w:div>
    <w:div w:id="1484614552">
      <w:bodyDiv w:val="1"/>
      <w:marLeft w:val="0pt"/>
      <w:marRight w:val="0pt"/>
      <w:marTop w:val="0pt"/>
      <w:marBottom w:val="0pt"/>
      <w:divBdr>
        <w:top w:val="none" w:sz="0" w:space="0" w:color="auto"/>
        <w:left w:val="none" w:sz="0" w:space="0" w:color="auto"/>
        <w:bottom w:val="none" w:sz="0" w:space="0" w:color="auto"/>
        <w:right w:val="none" w:sz="0" w:space="0" w:color="auto"/>
      </w:divBdr>
    </w:div>
    <w:div w:id="1497645613">
      <w:bodyDiv w:val="1"/>
      <w:marLeft w:val="0pt"/>
      <w:marRight w:val="0pt"/>
      <w:marTop w:val="0pt"/>
      <w:marBottom w:val="0pt"/>
      <w:divBdr>
        <w:top w:val="none" w:sz="0" w:space="0" w:color="auto"/>
        <w:left w:val="none" w:sz="0" w:space="0" w:color="auto"/>
        <w:bottom w:val="none" w:sz="0" w:space="0" w:color="auto"/>
        <w:right w:val="none" w:sz="0" w:space="0" w:color="auto"/>
      </w:divBdr>
    </w:div>
    <w:div w:id="1555460384">
      <w:bodyDiv w:val="1"/>
      <w:marLeft w:val="0pt"/>
      <w:marRight w:val="0pt"/>
      <w:marTop w:val="0pt"/>
      <w:marBottom w:val="0pt"/>
      <w:divBdr>
        <w:top w:val="none" w:sz="0" w:space="0" w:color="auto"/>
        <w:left w:val="none" w:sz="0" w:space="0" w:color="auto"/>
        <w:bottom w:val="none" w:sz="0" w:space="0" w:color="auto"/>
        <w:right w:val="none" w:sz="0" w:space="0" w:color="auto"/>
      </w:divBdr>
    </w:div>
    <w:div w:id="1571042044">
      <w:bodyDiv w:val="1"/>
      <w:marLeft w:val="0pt"/>
      <w:marRight w:val="0pt"/>
      <w:marTop w:val="0pt"/>
      <w:marBottom w:val="0pt"/>
      <w:divBdr>
        <w:top w:val="none" w:sz="0" w:space="0" w:color="auto"/>
        <w:left w:val="none" w:sz="0" w:space="0" w:color="auto"/>
        <w:bottom w:val="none" w:sz="0" w:space="0" w:color="auto"/>
        <w:right w:val="none" w:sz="0" w:space="0" w:color="auto"/>
      </w:divBdr>
    </w:div>
    <w:div w:id="1619801529">
      <w:bodyDiv w:val="1"/>
      <w:marLeft w:val="0pt"/>
      <w:marRight w:val="0pt"/>
      <w:marTop w:val="0pt"/>
      <w:marBottom w:val="0pt"/>
      <w:divBdr>
        <w:top w:val="none" w:sz="0" w:space="0" w:color="auto"/>
        <w:left w:val="none" w:sz="0" w:space="0" w:color="auto"/>
        <w:bottom w:val="none" w:sz="0" w:space="0" w:color="auto"/>
        <w:right w:val="none" w:sz="0" w:space="0" w:color="auto"/>
      </w:divBdr>
    </w:div>
    <w:div w:id="1620257277">
      <w:bodyDiv w:val="1"/>
      <w:marLeft w:val="0pt"/>
      <w:marRight w:val="0pt"/>
      <w:marTop w:val="0pt"/>
      <w:marBottom w:val="0pt"/>
      <w:divBdr>
        <w:top w:val="none" w:sz="0" w:space="0" w:color="auto"/>
        <w:left w:val="none" w:sz="0" w:space="0" w:color="auto"/>
        <w:bottom w:val="none" w:sz="0" w:space="0" w:color="auto"/>
        <w:right w:val="none" w:sz="0" w:space="0" w:color="auto"/>
      </w:divBdr>
    </w:div>
    <w:div w:id="1662997973">
      <w:bodyDiv w:val="1"/>
      <w:marLeft w:val="0pt"/>
      <w:marRight w:val="0pt"/>
      <w:marTop w:val="0pt"/>
      <w:marBottom w:val="0pt"/>
      <w:divBdr>
        <w:top w:val="none" w:sz="0" w:space="0" w:color="auto"/>
        <w:left w:val="none" w:sz="0" w:space="0" w:color="auto"/>
        <w:bottom w:val="none" w:sz="0" w:space="0" w:color="auto"/>
        <w:right w:val="none" w:sz="0" w:space="0" w:color="auto"/>
      </w:divBdr>
    </w:div>
    <w:div w:id="1678651193">
      <w:bodyDiv w:val="1"/>
      <w:marLeft w:val="0pt"/>
      <w:marRight w:val="0pt"/>
      <w:marTop w:val="0pt"/>
      <w:marBottom w:val="0pt"/>
      <w:divBdr>
        <w:top w:val="none" w:sz="0" w:space="0" w:color="auto"/>
        <w:left w:val="none" w:sz="0" w:space="0" w:color="auto"/>
        <w:bottom w:val="none" w:sz="0" w:space="0" w:color="auto"/>
        <w:right w:val="none" w:sz="0" w:space="0" w:color="auto"/>
      </w:divBdr>
    </w:div>
    <w:div w:id="1697805757">
      <w:bodyDiv w:val="1"/>
      <w:marLeft w:val="0pt"/>
      <w:marRight w:val="0pt"/>
      <w:marTop w:val="0pt"/>
      <w:marBottom w:val="0pt"/>
      <w:divBdr>
        <w:top w:val="none" w:sz="0" w:space="0" w:color="auto"/>
        <w:left w:val="none" w:sz="0" w:space="0" w:color="auto"/>
        <w:bottom w:val="none" w:sz="0" w:space="0" w:color="auto"/>
        <w:right w:val="none" w:sz="0" w:space="0" w:color="auto"/>
      </w:divBdr>
    </w:div>
    <w:div w:id="1702364154">
      <w:bodyDiv w:val="1"/>
      <w:marLeft w:val="0pt"/>
      <w:marRight w:val="0pt"/>
      <w:marTop w:val="0pt"/>
      <w:marBottom w:val="0pt"/>
      <w:divBdr>
        <w:top w:val="none" w:sz="0" w:space="0" w:color="auto"/>
        <w:left w:val="none" w:sz="0" w:space="0" w:color="auto"/>
        <w:bottom w:val="none" w:sz="0" w:space="0" w:color="auto"/>
        <w:right w:val="none" w:sz="0" w:space="0" w:color="auto"/>
      </w:divBdr>
    </w:div>
    <w:div w:id="1707873399">
      <w:bodyDiv w:val="1"/>
      <w:marLeft w:val="0pt"/>
      <w:marRight w:val="0pt"/>
      <w:marTop w:val="0pt"/>
      <w:marBottom w:val="0pt"/>
      <w:divBdr>
        <w:top w:val="none" w:sz="0" w:space="0" w:color="auto"/>
        <w:left w:val="none" w:sz="0" w:space="0" w:color="auto"/>
        <w:bottom w:val="none" w:sz="0" w:space="0" w:color="auto"/>
        <w:right w:val="none" w:sz="0" w:space="0" w:color="auto"/>
      </w:divBdr>
    </w:div>
    <w:div w:id="17598623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59344034">
          <w:marLeft w:val="58.30pt"/>
          <w:marRight w:val="0pt"/>
          <w:marTop w:val="4.80pt"/>
          <w:marBottom w:val="0pt"/>
          <w:divBdr>
            <w:top w:val="none" w:sz="0" w:space="0" w:color="auto"/>
            <w:left w:val="none" w:sz="0" w:space="0" w:color="auto"/>
            <w:bottom w:val="none" w:sz="0" w:space="0" w:color="auto"/>
            <w:right w:val="none" w:sz="0" w:space="0" w:color="auto"/>
          </w:divBdr>
        </w:div>
        <w:div w:id="196800032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68846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1715188">
          <w:marLeft w:val="0pt"/>
          <w:marRight w:val="0pt"/>
          <w:marTop w:val="0pt"/>
          <w:marBottom w:val="0pt"/>
          <w:divBdr>
            <w:top w:val="none" w:sz="0" w:space="0" w:color="auto"/>
            <w:left w:val="none" w:sz="0" w:space="0" w:color="auto"/>
            <w:bottom w:val="none" w:sz="0" w:space="0" w:color="auto"/>
            <w:right w:val="none" w:sz="0" w:space="0" w:color="auto"/>
          </w:divBdr>
        </w:div>
      </w:divsChild>
    </w:div>
    <w:div w:id="1785156146">
      <w:bodyDiv w:val="1"/>
      <w:marLeft w:val="0pt"/>
      <w:marRight w:val="0pt"/>
      <w:marTop w:val="0pt"/>
      <w:marBottom w:val="0pt"/>
      <w:divBdr>
        <w:top w:val="none" w:sz="0" w:space="0" w:color="auto"/>
        <w:left w:val="none" w:sz="0" w:space="0" w:color="auto"/>
        <w:bottom w:val="none" w:sz="0" w:space="0" w:color="auto"/>
        <w:right w:val="none" w:sz="0" w:space="0" w:color="auto"/>
      </w:divBdr>
    </w:div>
    <w:div w:id="1825391731">
      <w:bodyDiv w:val="1"/>
      <w:marLeft w:val="0pt"/>
      <w:marRight w:val="0pt"/>
      <w:marTop w:val="0pt"/>
      <w:marBottom w:val="0pt"/>
      <w:divBdr>
        <w:top w:val="none" w:sz="0" w:space="0" w:color="auto"/>
        <w:left w:val="none" w:sz="0" w:space="0" w:color="auto"/>
        <w:bottom w:val="none" w:sz="0" w:space="0" w:color="auto"/>
        <w:right w:val="none" w:sz="0" w:space="0" w:color="auto"/>
      </w:divBdr>
    </w:div>
    <w:div w:id="1898125761">
      <w:bodyDiv w:val="1"/>
      <w:marLeft w:val="0pt"/>
      <w:marRight w:val="0pt"/>
      <w:marTop w:val="0pt"/>
      <w:marBottom w:val="0pt"/>
      <w:divBdr>
        <w:top w:val="none" w:sz="0" w:space="0" w:color="auto"/>
        <w:left w:val="none" w:sz="0" w:space="0" w:color="auto"/>
        <w:bottom w:val="none" w:sz="0" w:space="0" w:color="auto"/>
        <w:right w:val="none" w:sz="0" w:space="0" w:color="auto"/>
      </w:divBdr>
    </w:div>
    <w:div w:id="19217957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5323929">
          <w:marLeft w:val="58.30pt"/>
          <w:marRight w:val="0pt"/>
          <w:marTop w:val="4.80pt"/>
          <w:marBottom w:val="0pt"/>
          <w:divBdr>
            <w:top w:val="none" w:sz="0" w:space="0" w:color="auto"/>
            <w:left w:val="none" w:sz="0" w:space="0" w:color="auto"/>
            <w:bottom w:val="none" w:sz="0" w:space="0" w:color="auto"/>
            <w:right w:val="none" w:sz="0" w:space="0" w:color="auto"/>
          </w:divBdr>
        </w:div>
        <w:div w:id="69739285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936204699">
      <w:bodyDiv w:val="1"/>
      <w:marLeft w:val="0pt"/>
      <w:marRight w:val="0pt"/>
      <w:marTop w:val="0pt"/>
      <w:marBottom w:val="0pt"/>
      <w:divBdr>
        <w:top w:val="none" w:sz="0" w:space="0" w:color="auto"/>
        <w:left w:val="none" w:sz="0" w:space="0" w:color="auto"/>
        <w:bottom w:val="none" w:sz="0" w:space="0" w:color="auto"/>
        <w:right w:val="none" w:sz="0" w:space="0" w:color="auto"/>
      </w:divBdr>
    </w:div>
    <w:div w:id="1948349315">
      <w:bodyDiv w:val="1"/>
      <w:marLeft w:val="0pt"/>
      <w:marRight w:val="0pt"/>
      <w:marTop w:val="0pt"/>
      <w:marBottom w:val="0pt"/>
      <w:divBdr>
        <w:top w:val="none" w:sz="0" w:space="0" w:color="auto"/>
        <w:left w:val="none" w:sz="0" w:space="0" w:color="auto"/>
        <w:bottom w:val="none" w:sz="0" w:space="0" w:color="auto"/>
        <w:right w:val="none" w:sz="0" w:space="0" w:color="auto"/>
      </w:divBdr>
    </w:div>
    <w:div w:id="2015300994">
      <w:bodyDiv w:val="1"/>
      <w:marLeft w:val="0pt"/>
      <w:marRight w:val="0pt"/>
      <w:marTop w:val="0pt"/>
      <w:marBottom w:val="0pt"/>
      <w:divBdr>
        <w:top w:val="none" w:sz="0" w:space="0" w:color="auto"/>
        <w:left w:val="none" w:sz="0" w:space="0" w:color="auto"/>
        <w:bottom w:val="none" w:sz="0" w:space="0" w:color="auto"/>
        <w:right w:val="none" w:sz="0" w:space="0" w:color="auto"/>
      </w:divBdr>
    </w:div>
    <w:div w:id="2019846318">
      <w:bodyDiv w:val="1"/>
      <w:marLeft w:val="0pt"/>
      <w:marRight w:val="0pt"/>
      <w:marTop w:val="0pt"/>
      <w:marBottom w:val="0pt"/>
      <w:divBdr>
        <w:top w:val="none" w:sz="0" w:space="0" w:color="auto"/>
        <w:left w:val="none" w:sz="0" w:space="0" w:color="auto"/>
        <w:bottom w:val="none" w:sz="0" w:space="0" w:color="auto"/>
        <w:right w:val="none" w:sz="0" w:space="0" w:color="auto"/>
      </w:divBdr>
    </w:div>
    <w:div w:id="2087338489">
      <w:bodyDiv w:val="1"/>
      <w:marLeft w:val="0pt"/>
      <w:marRight w:val="0pt"/>
      <w:marTop w:val="0pt"/>
      <w:marBottom w:val="0pt"/>
      <w:divBdr>
        <w:top w:val="none" w:sz="0" w:space="0" w:color="auto"/>
        <w:left w:val="none" w:sz="0" w:space="0" w:color="auto"/>
        <w:bottom w:val="none" w:sz="0" w:space="0" w:color="auto"/>
        <w:right w:val="none" w:sz="0" w:space="0" w:color="auto"/>
      </w:divBdr>
    </w:div>
    <w:div w:id="2141996721">
      <w:bodyDiv w:val="1"/>
      <w:marLeft w:val="0pt"/>
      <w:marRight w:val="0pt"/>
      <w:marTop w:val="0pt"/>
      <w:marBottom w:val="0pt"/>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header" Target="header2.xml"/><Relationship Id="rId18" Type="http://purl.oclc.org/ooxml/officeDocument/relationships/fontTable" Target="fontTable.xml"/><Relationship Id="rId3" Type="http://purl.oclc.org/ooxml/officeDocument/relationships/customXml" Target="../customXml/item3.xml"/><Relationship Id="rId7" Type="http://purl.oclc.org/ooxml/officeDocument/relationships/styles" Target="styles.xml"/><Relationship Id="rId12" Type="http://purl.oclc.org/ooxml/officeDocument/relationships/header" Target="header1.xml"/><Relationship Id="rId17" Type="http://purl.oclc.org/ooxml/officeDocument/relationships/footer" Target="footer3.xml"/><Relationship Id="rId2" Type="http://purl.oclc.org/ooxml/officeDocument/relationships/customXml" Target="../customXml/item2.xml"/><Relationship Id="rId16" Type="http://purl.oclc.org/ooxml/officeDocument/relationships/header" Target="header3.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5" Type="http://purl.oclc.org/ooxml/officeDocument/relationships/customXml" Target="../customXml/item5.xml"/><Relationship Id="rId15" Type="http://purl.oclc.org/ooxml/officeDocument/relationships/footer" Target="footer2.xml"/><Relationship Id="rId10" Type="http://purl.oclc.org/ooxml/officeDocument/relationships/footnotes" Target="footnotes.xml"/><Relationship Id="rId19" Type="http://purl.oclc.org/ooxml/officeDocument/relationships/theme" Target="theme/theme1.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83AEF77BC0B049B2559A965784EC3D" ma:contentTypeVersion="11" ma:contentTypeDescription="Create a new document." ma:contentTypeScope="" ma:versionID="98b43587ce9466aa063dd029d72599da">
  <xsd:schema xmlns:xsd="http://www.w3.org/2001/XMLSchema" xmlns:xs="http://www.w3.org/2001/XMLSchema" xmlns:p="http://schemas.microsoft.com/office/2006/metadata/properties" xmlns:ns3="0815ca10-04bc-4820-81d0-46242a1f5e94" xmlns:ns4="f4465172-beb1-44e4-b894-5f04148b52a9" targetNamespace="http://schemas.microsoft.com/office/2006/metadata/properties" ma:root="true" ma:fieldsID="68172979e8662955a9a9d4faeeb8f489" ns3:_="" ns4:_="">
    <xsd:import namespace="0815ca10-04bc-4820-81d0-46242a1f5e94"/>
    <xsd:import namespace="f4465172-beb1-44e4-b894-5f04148b52a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ca10-04bc-4820-81d0-46242a1f5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465172-beb1-44e4-b894-5f04148b52a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purl.oclc.org/ooxml/officeDocument/customXml" ds:itemID="{8FA893D5-9A25-416C-8E55-88C0976F8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ca10-04bc-4820-81d0-46242a1f5e94"/>
    <ds:schemaRef ds:uri="f4465172-beb1-44e4-b894-5f04148b5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89B265A1-7E88-42D3-8BAC-09F672DA2D29}">
  <ds:schemaRefs>
    <ds:schemaRef ds:uri="http://schemas.microsoft.com/sharepoint/v3/contenttype/forms"/>
  </ds:schemaRefs>
</ds:datastoreItem>
</file>

<file path=customXml/itemProps3.xml><?xml version="1.0" encoding="utf-8"?>
<ds:datastoreItem xmlns:ds="http://purl.oclc.org/ooxml/officeDocument/customXml" ds:itemID="{143B975C-8E27-4870-B65A-72145777B164}">
  <ds:schemaRefs>
    <ds:schemaRef ds:uri="http://schemas.microsoft.com/office/2006/metadata/longProperties"/>
  </ds:schemaRefs>
</ds:datastoreItem>
</file>

<file path=customXml/itemProps4.xml><?xml version="1.0" encoding="utf-8"?>
<ds:datastoreItem xmlns:ds="http://purl.oclc.org/ooxml/officeDocument/customXml" ds:itemID="{DEFE5B52-2094-42AF-A8A2-0A552716E624}">
  <ds:schemaRefs>
    <ds:schemaRef ds:uri="http://schemas.openxmlformats.org/officeDocument/2006/bibliography"/>
  </ds:schemaRefs>
</ds:datastoreItem>
</file>

<file path=customXml/itemProps5.xml><?xml version="1.0" encoding="utf-8"?>
<ds:datastoreItem xmlns:ds="http://purl.oclc.org/ooxml/officeDocument/customXml" ds:itemID="{1A7ADA10-3D28-4170-8114-A3329EC4CD38}">
  <ds:schemaRefs>
    <ds:schemaRef ds:uri="http://schemas.microsoft.com/office/2006/metadata/properties"/>
    <ds:schemaRef ds:uri="http://schemas.microsoft.com/office/infopath/2007/PartnerControls"/>
  </ds:schemaRefs>
</ds:datastoreItem>
</file>

<file path=docProps/app.xml><?xml version="1.0" encoding="utf-8"?>
<Properties xmlns="http://purl.oclc.org/ooxml/officeDocument/extendedProperties" xmlns:vt="http://purl.oclc.org/ooxml/officeDocument/docPropsVTypes">
  <Template>Normal.dotm</Template>
  <TotalTime>1</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 Sherif Elazzouni</cp:lastModifiedBy>
  <cp:revision>6</cp:revision>
  <cp:lastPrinted>2020-08-06T23:03:00Z</cp:lastPrinted>
  <dcterms:created xsi:type="dcterms:W3CDTF">2023-05-08T23:18:00Z</dcterms:created>
  <dcterms:modified xsi:type="dcterms:W3CDTF">2023-05-11T22:36:00Z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dlc_DocId">
    <vt:lpwstr>3EQ6UJ4K66FU-116443906-38064</vt:lpwstr>
  </property>
  <property fmtid="{D5CDD505-2E9C-101B-9397-08002B2CF9AE}" pid="4" name="_dlc_DocIdItemGuid">
    <vt:lpwstr>06f80ef2-81b8-4d1f-a29c-512a65e376c1</vt:lpwstr>
  </property>
  <property fmtid="{D5CDD505-2E9C-101B-9397-08002B2CF9AE}" pid="5" name="_dlc_DocIdUrl">
    <vt:lpwstr>https://projects.qualcomm.com/sites/meridian/_layouts/15/DocIdRedir.aspx?ID=3EQ6UJ4K66FU-116443906-38064, 3EQ6UJ4K66FU-116443906-38064</vt:lpwstr>
  </property>
  <property fmtid="{D5CDD505-2E9C-101B-9397-08002B2CF9AE}" pid="6" name="IconOverlay">
    <vt:lpwstr/>
  </property>
  <property fmtid="{D5CDD505-2E9C-101B-9397-08002B2CF9AE}" pid="7" name="ContentTypeId">
    <vt:lpwstr>0x010100C883AEF77BC0B049B2559A965784EC3D</vt:lpwstr>
  </property>
</Properties>
</file>